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E04" w:rsidRPr="001A7C03" w:rsidRDefault="002A5E04" w:rsidP="002A5E04">
      <w:pPr>
        <w:pStyle w:val="Textoindependiente"/>
        <w:widowControl w:val="0"/>
        <w:tabs>
          <w:tab w:val="left" w:pos="2410"/>
          <w:tab w:val="left" w:pos="3261"/>
          <w:tab w:val="left" w:pos="5954"/>
          <w:tab w:val="left" w:pos="6946"/>
        </w:tabs>
        <w:suppressAutoHyphens/>
        <w:spacing w:after="0" w:line="240" w:lineRule="auto"/>
        <w:ind w:left="3261" w:right="2409" w:hanging="993"/>
        <w:jc w:val="both"/>
        <w:rPr>
          <w:rFonts w:ascii="Tahoma" w:hAnsi="Tahoma" w:cs="Tahoma"/>
          <w:i/>
          <w:sz w:val="20"/>
          <w:szCs w:val="20"/>
          <w:lang w:val="es-PE"/>
        </w:rPr>
      </w:pPr>
      <w:r w:rsidRPr="00D25907">
        <w:rPr>
          <w:rFonts w:ascii="Tahoma" w:hAnsi="Tahoma" w:cs="Tahoma"/>
          <w:b/>
          <w:i/>
          <w:sz w:val="20"/>
          <w:szCs w:val="20"/>
        </w:rPr>
        <w:t xml:space="preserve">Sumilla: </w:t>
      </w:r>
      <w:r w:rsidR="00542FA2" w:rsidRPr="001A7C03">
        <w:rPr>
          <w:rFonts w:ascii="Tahoma" w:hAnsi="Tahoma" w:cs="Tahoma"/>
          <w:i/>
          <w:sz w:val="20"/>
          <w:szCs w:val="20"/>
        </w:rPr>
        <w:t>El procedimiento de resolución contractual ha sido previsto en el artículo 226º del Reglamento, el cual dispone que en caso de incumplimiento contractual, la parte afectada requerirá a la otra notarialmente para que satisfaga sus obligaciones en un plazo no mayor de cinco (5) días, bajo apercibimiento de resolver el contrato</w:t>
      </w:r>
      <w:r w:rsidRPr="001A7C03">
        <w:rPr>
          <w:rFonts w:ascii="Tahoma" w:hAnsi="Tahoma" w:cs="Tahoma"/>
          <w:i/>
          <w:sz w:val="20"/>
          <w:szCs w:val="20"/>
        </w:rPr>
        <w:t>.</w:t>
      </w:r>
    </w:p>
    <w:p w:rsidR="002A5E04" w:rsidRPr="00D25907" w:rsidRDefault="002A5E04" w:rsidP="002A5E04">
      <w:pPr>
        <w:pStyle w:val="Textoindependiente3"/>
        <w:spacing w:after="0"/>
        <w:ind w:left="4248" w:right="179" w:firstLine="708"/>
        <w:jc w:val="both"/>
        <w:rPr>
          <w:rFonts w:ascii="Tahoma" w:hAnsi="Tahoma" w:cs="Tahoma"/>
          <w:b/>
          <w:sz w:val="20"/>
          <w:szCs w:val="20"/>
        </w:rPr>
      </w:pPr>
    </w:p>
    <w:p w:rsidR="002A5E04" w:rsidRPr="00D25907" w:rsidRDefault="002A5E04" w:rsidP="002A5E04">
      <w:pPr>
        <w:pStyle w:val="Textoindependiente3"/>
        <w:spacing w:after="0"/>
        <w:ind w:left="4248" w:right="179" w:firstLine="708"/>
        <w:jc w:val="both"/>
        <w:rPr>
          <w:rFonts w:ascii="Tahoma" w:hAnsi="Tahoma" w:cs="Tahoma"/>
          <w:sz w:val="20"/>
          <w:szCs w:val="20"/>
        </w:rPr>
      </w:pPr>
      <w:r w:rsidRPr="00D25907">
        <w:rPr>
          <w:rFonts w:ascii="Tahoma" w:hAnsi="Tahoma" w:cs="Tahoma"/>
          <w:b/>
          <w:sz w:val="20"/>
          <w:szCs w:val="20"/>
        </w:rPr>
        <w:t>Lima</w:t>
      </w:r>
      <w:r w:rsidRPr="00D25907">
        <w:rPr>
          <w:rFonts w:ascii="Tahoma" w:hAnsi="Tahoma" w:cs="Tahoma"/>
          <w:sz w:val="20"/>
          <w:szCs w:val="20"/>
        </w:rPr>
        <w:t xml:space="preserve">, </w:t>
      </w:r>
      <w:r w:rsidR="001131A4">
        <w:rPr>
          <w:rFonts w:ascii="Tahoma" w:hAnsi="Tahoma" w:cs="Tahoma"/>
          <w:sz w:val="20"/>
          <w:szCs w:val="20"/>
        </w:rPr>
        <w:t>11 de Mayo de 2011</w:t>
      </w:r>
    </w:p>
    <w:p w:rsidR="002A5E04" w:rsidRPr="00D25907" w:rsidRDefault="002A5E04" w:rsidP="002A5E04">
      <w:pPr>
        <w:pStyle w:val="Textoindependiente3"/>
        <w:spacing w:after="0"/>
        <w:jc w:val="both"/>
        <w:rPr>
          <w:rFonts w:ascii="Tahoma" w:hAnsi="Tahoma" w:cs="Tahoma"/>
          <w:sz w:val="20"/>
          <w:szCs w:val="20"/>
        </w:rPr>
      </w:pPr>
    </w:p>
    <w:p w:rsidR="002A5E04" w:rsidRPr="00D25907" w:rsidRDefault="002A5E04" w:rsidP="002A5E04">
      <w:pPr>
        <w:spacing w:after="0" w:line="240" w:lineRule="auto"/>
        <w:jc w:val="both"/>
        <w:rPr>
          <w:rFonts w:ascii="Tahoma" w:hAnsi="Tahoma" w:cs="Tahoma"/>
          <w:sz w:val="20"/>
          <w:szCs w:val="20"/>
        </w:rPr>
      </w:pPr>
      <w:r w:rsidRPr="00D25907">
        <w:rPr>
          <w:rFonts w:ascii="Tahoma" w:hAnsi="Tahoma" w:cs="Tahoma"/>
          <w:b/>
          <w:sz w:val="20"/>
          <w:szCs w:val="20"/>
        </w:rPr>
        <w:t>VISTO</w:t>
      </w:r>
      <w:r w:rsidRPr="00D25907">
        <w:rPr>
          <w:rFonts w:ascii="Tahoma" w:hAnsi="Tahoma" w:cs="Tahoma"/>
          <w:sz w:val="20"/>
          <w:szCs w:val="20"/>
        </w:rPr>
        <w:t xml:space="preserve"> en sesión de fecha 10 de mayo de 2011 de la Primera Sala del Tribunal de Contrataciones del Estado el Expediente № </w:t>
      </w:r>
      <w:r w:rsidR="0078636C">
        <w:rPr>
          <w:rFonts w:ascii="Tahoma" w:hAnsi="Tahoma" w:cs="Tahoma"/>
          <w:sz w:val="20"/>
          <w:szCs w:val="20"/>
        </w:rPr>
        <w:t>3366/2008</w:t>
      </w:r>
      <w:r w:rsidRPr="00D25907">
        <w:rPr>
          <w:rFonts w:ascii="Tahoma" w:hAnsi="Tahoma" w:cs="Tahoma"/>
          <w:sz w:val="20"/>
          <w:szCs w:val="20"/>
        </w:rPr>
        <w:t xml:space="preserve">.TC, sobre el procedimiento administrativo sancionador contra </w:t>
      </w:r>
      <w:r w:rsidR="003A110E">
        <w:rPr>
          <w:rFonts w:ascii="Tahoma" w:hAnsi="Tahoma" w:cs="Tahoma"/>
          <w:sz w:val="20"/>
          <w:szCs w:val="20"/>
        </w:rPr>
        <w:t xml:space="preserve">el </w:t>
      </w:r>
      <w:r w:rsidR="003A110E" w:rsidRPr="00D25907">
        <w:rPr>
          <w:rFonts w:ascii="Tahoma" w:hAnsi="Tahoma" w:cs="Tahoma"/>
          <w:sz w:val="20"/>
          <w:szCs w:val="20"/>
        </w:rPr>
        <w:t>Sr. Renzo Martín Babilonia Fernández Baca</w:t>
      </w:r>
      <w:r w:rsidRPr="00D25907">
        <w:rPr>
          <w:rFonts w:ascii="Tahoma" w:hAnsi="Tahoma" w:cs="Tahoma"/>
          <w:sz w:val="20"/>
          <w:szCs w:val="20"/>
        </w:rPr>
        <w:t xml:space="preserve">, </w:t>
      </w:r>
      <w:r w:rsidRPr="00D25907">
        <w:rPr>
          <w:rFonts w:ascii="Tahoma" w:hAnsi="Tahoma" w:cs="Tahoma"/>
          <w:sz w:val="20"/>
          <w:szCs w:val="20"/>
          <w:lang w:val="es-MX"/>
        </w:rPr>
        <w:t xml:space="preserve">por </w:t>
      </w:r>
      <w:r w:rsidR="007B0631">
        <w:rPr>
          <w:rFonts w:ascii="Tahoma" w:hAnsi="Tahoma" w:cs="Tahoma"/>
          <w:sz w:val="20"/>
          <w:szCs w:val="20"/>
          <w:lang w:val="es-MX"/>
        </w:rPr>
        <w:t xml:space="preserve">supuesta responsabilidad en dar lugar a la resolución de la </w:t>
      </w:r>
      <w:r w:rsidR="007B0631" w:rsidRPr="00D25907">
        <w:rPr>
          <w:rFonts w:ascii="Tahoma" w:hAnsi="Tahoma" w:cs="Tahoma"/>
          <w:sz w:val="20"/>
          <w:szCs w:val="20"/>
        </w:rPr>
        <w:t>Orden de Servicio Nº 0000152</w:t>
      </w:r>
      <w:r w:rsidR="006B3EE7">
        <w:rPr>
          <w:rFonts w:ascii="Tahoma" w:hAnsi="Tahoma" w:cs="Tahoma"/>
          <w:sz w:val="20"/>
          <w:szCs w:val="20"/>
        </w:rPr>
        <w:t xml:space="preserve"> derivada</w:t>
      </w:r>
      <w:r w:rsidR="007B0631">
        <w:rPr>
          <w:rFonts w:ascii="Tahoma" w:hAnsi="Tahoma" w:cs="Tahoma"/>
          <w:sz w:val="20"/>
          <w:szCs w:val="20"/>
        </w:rPr>
        <w:t xml:space="preserve"> de </w:t>
      </w:r>
      <w:r w:rsidR="007B0631" w:rsidRPr="00D25907">
        <w:rPr>
          <w:rFonts w:ascii="Tahoma" w:hAnsi="Tahoma" w:cs="Tahoma"/>
          <w:sz w:val="20"/>
          <w:szCs w:val="20"/>
        </w:rPr>
        <w:t>la Adjudicación de Menor Cuantía Nº 008-2008/PROSAAMER</w:t>
      </w:r>
      <w:r w:rsidR="006B3EE7">
        <w:rPr>
          <w:rFonts w:ascii="Tahoma" w:hAnsi="Tahoma" w:cs="Tahoma"/>
          <w:sz w:val="20"/>
          <w:szCs w:val="20"/>
        </w:rPr>
        <w:t>, efectuada</w:t>
      </w:r>
      <w:r w:rsidR="007B0631">
        <w:rPr>
          <w:rFonts w:ascii="Tahoma" w:hAnsi="Tahoma" w:cs="Tahoma"/>
          <w:sz w:val="20"/>
          <w:szCs w:val="20"/>
        </w:rPr>
        <w:t xml:space="preserve"> por </w:t>
      </w:r>
      <w:r w:rsidR="007B0631" w:rsidRPr="00D25907">
        <w:rPr>
          <w:rFonts w:ascii="Tahoma" w:hAnsi="Tahoma" w:cs="Tahoma"/>
          <w:sz w:val="20"/>
          <w:szCs w:val="20"/>
        </w:rPr>
        <w:t>el Programa de Servicios de Apoyo para Acceder a los Mercados Rurales – PROSAAMER – MINISTERIO DE AGRICULTURA</w:t>
      </w:r>
      <w:r w:rsidR="00542FA2">
        <w:rPr>
          <w:rFonts w:ascii="Tahoma" w:hAnsi="Tahoma" w:cs="Tahoma"/>
          <w:sz w:val="20"/>
          <w:szCs w:val="20"/>
        </w:rPr>
        <w:t xml:space="preserve">, </w:t>
      </w:r>
      <w:r w:rsidR="007B0631">
        <w:rPr>
          <w:rFonts w:ascii="Tahoma" w:hAnsi="Tahoma" w:cs="Tahoma"/>
          <w:sz w:val="20"/>
          <w:szCs w:val="20"/>
        </w:rPr>
        <w:t>para</w:t>
      </w:r>
      <w:r w:rsidR="007B0631" w:rsidRPr="00D25907">
        <w:rPr>
          <w:rFonts w:ascii="Tahoma" w:hAnsi="Tahoma" w:cs="Tahoma"/>
          <w:sz w:val="20"/>
          <w:szCs w:val="20"/>
        </w:rPr>
        <w:t xml:space="preserve"> la contratación del servicio de elaboración del Banco de Imágenes de fotografías</w:t>
      </w:r>
      <w:r w:rsidRPr="00D25907">
        <w:rPr>
          <w:rFonts w:ascii="Tahoma" w:hAnsi="Tahoma" w:cs="Tahoma"/>
          <w:sz w:val="20"/>
          <w:szCs w:val="20"/>
        </w:rPr>
        <w:t xml:space="preserve">; y, atendiendo a los siguientes:   </w:t>
      </w:r>
    </w:p>
    <w:p w:rsidR="002A5E04" w:rsidRPr="00D25907" w:rsidRDefault="002A5E04" w:rsidP="002A5E04">
      <w:pPr>
        <w:spacing w:after="0" w:line="240" w:lineRule="auto"/>
        <w:ind w:right="45"/>
        <w:jc w:val="both"/>
        <w:rPr>
          <w:rFonts w:ascii="Tahoma" w:hAnsi="Tahoma" w:cs="Tahoma"/>
          <w:sz w:val="20"/>
          <w:szCs w:val="20"/>
        </w:rPr>
      </w:pPr>
    </w:p>
    <w:p w:rsidR="002A5E04" w:rsidRPr="00D25907" w:rsidRDefault="002A5E04" w:rsidP="002A5E04">
      <w:pPr>
        <w:pStyle w:val="Ttulo2"/>
        <w:jc w:val="both"/>
        <w:rPr>
          <w:rFonts w:cs="Tahoma"/>
          <w:sz w:val="20"/>
        </w:rPr>
      </w:pPr>
      <w:r w:rsidRPr="00D25907">
        <w:rPr>
          <w:rFonts w:cs="Tahoma"/>
          <w:sz w:val="20"/>
        </w:rPr>
        <w:t>ANTECEDENTES:</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El 28 de marzo de 2008, el Programa de Servicios de Apoyo para Acceder a los Mercados Rurales – PROSAAMER – MINISTERIO DE AGRICULTURA, en lo sucesivo la Entidad, convocó a la Adjudicación de Menor Cuantía Nº 008-2008/PROSAAMER, para la contratación del servicio de elaboración del Banco de Imágenes de fotografías, por un valor referencial ascendente a S/. 10,000.00 Nuevos Soles.</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El 28 de marzo de 2008, se llevó a cabo el otorgamiento de la buena pro a favor del Sr. Renzo Martín Babilonia Fernández Baca, en adelante el Contratista.</w:t>
      </w:r>
    </w:p>
    <w:p w:rsidR="002A5E04" w:rsidRPr="00D25907" w:rsidRDefault="002A5E04" w:rsidP="002A5E04">
      <w:pPr>
        <w:pStyle w:val="Prrafodelista"/>
        <w:rPr>
          <w:rFonts w:ascii="Tahoma" w:hAnsi="Tahoma" w:cs="Tahoma"/>
          <w:sz w:val="20"/>
        </w:rPr>
      </w:pPr>
    </w:p>
    <w:p w:rsidR="002A5E04" w:rsidRPr="00D25907" w:rsidRDefault="002A5E04" w:rsidP="00542FA2">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El 31 de marzo de 2008, se emitió la Orden de Servicio Nº 0000152 a nombre del Contratista, para realizar el archivo o banco de imágenes de la Entidad. En dicho documento se indicó que el plazo para realizar el servicio era de 30 días calendario a partir de la recepción de la Orden de Servicio,  y que la forma de pago seria 40% a la presentación del Plan de Trabajo y 60% contra la presentación del producto final.</w:t>
      </w:r>
    </w:p>
    <w:p w:rsidR="002A5E04" w:rsidRPr="00D25907" w:rsidRDefault="002A5E04" w:rsidP="00542FA2">
      <w:pPr>
        <w:pStyle w:val="Prrafodelista"/>
        <w:jc w:val="both"/>
        <w:rPr>
          <w:rFonts w:ascii="Tahoma" w:hAnsi="Tahoma" w:cs="Tahoma"/>
          <w:sz w:val="20"/>
        </w:rPr>
      </w:pPr>
    </w:p>
    <w:p w:rsidR="002A5E04" w:rsidRPr="00D25907" w:rsidRDefault="002A5E04" w:rsidP="00542FA2">
      <w:pPr>
        <w:ind w:left="720"/>
        <w:jc w:val="both"/>
        <w:rPr>
          <w:rFonts w:ascii="Tahoma" w:hAnsi="Tahoma" w:cs="Tahoma"/>
          <w:sz w:val="20"/>
          <w:szCs w:val="20"/>
        </w:rPr>
      </w:pPr>
      <w:r w:rsidRPr="00D25907">
        <w:rPr>
          <w:rFonts w:ascii="Tahoma" w:hAnsi="Tahoma" w:cs="Tahoma"/>
          <w:sz w:val="20"/>
          <w:szCs w:val="20"/>
        </w:rPr>
        <w:t>De conformidad a la referida Orden de Compra, el plazo para realizar el servicio vencía el 31 de abril de 2008.</w:t>
      </w: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Con Carta de fecha 03 de julio de 2008 y notificada por conducto notarial el 04 del mismo mes y año, la Entidad le comunicó al Contratista que a la fecha no se había cumplido con presentar el producto final, a pesar que el plazo contractual había vencido. En tal sentido, se le otorgó al contratista el plazo de 05 días a efectos que cumpla con las obligaciones indicadas en la Orden de servicio Nº 0000152.</w:t>
      </w:r>
    </w:p>
    <w:p w:rsidR="007B0631" w:rsidRDefault="007B0631" w:rsidP="007B0631">
      <w:pPr>
        <w:spacing w:after="0" w:line="240" w:lineRule="auto"/>
        <w:ind w:left="720"/>
        <w:jc w:val="both"/>
        <w:rPr>
          <w:rFonts w:ascii="Tahoma" w:hAnsi="Tahoma" w:cs="Tahoma"/>
          <w:sz w:val="20"/>
          <w:szCs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 xml:space="preserve">Con Carta de fecha 08 de agosto de 2008 y notificada por conducto notarial el 12 de agosto de 2008,  la Entidad le comunicó al Contratista la resolución total del contrato. En </w:t>
      </w:r>
      <w:r w:rsidRPr="00D25907">
        <w:rPr>
          <w:rFonts w:ascii="Tahoma" w:hAnsi="Tahoma" w:cs="Tahoma"/>
          <w:sz w:val="20"/>
          <w:szCs w:val="20"/>
        </w:rPr>
        <w:lastRenderedPageBreak/>
        <w:t>dicho documento se indicó que si bien es cierto, se había presentado el Plan de Trabajo de manera extemporánea, no tenía ninguna utilidad para la Entidad, toda vez que sin el producto final no se satisfacía el objeto de la convocatoria.</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Mediante Oficio Nº 570-2008-AG-UEP-PROSAAMER de fecha 29 de agosto de 2008, la Entidad puso en conocimiento de este Tribunal los hechos antes expuestos y adjuntó el informe Nº 004-2008-AL-PROSAAMER, en el que concluyó por la responsabilidad administrativa del Contratista.</w:t>
      </w:r>
    </w:p>
    <w:p w:rsidR="002A5E04" w:rsidRPr="00D25907" w:rsidRDefault="002A5E04" w:rsidP="002A5E04">
      <w:pPr>
        <w:pStyle w:val="Prrafodelista"/>
        <w:rPr>
          <w:rFonts w:ascii="Tahoma" w:hAnsi="Tahoma" w:cs="Tahoma"/>
          <w:sz w:val="20"/>
          <w:highlight w:val="yellow"/>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Con decreto de fecha 03 de septiembre de 2008, de manera previa al inicio del procedimiento administrativo sancionador, se solicitó a la Entidad cumpla con precisar si la controversia había sido sometida a un procedimiento arbitral u otro mecanismo de solución de conflictos.</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Mediante Oficio Nº 121-2008-AG-UEP-PROS de fecha 12 de diciembre de 2008, la Entidad remitió la información requerida.</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Por decreto del 12 de junio de 2009, el Tribunal dispuso el inicio del procedimiento administrativo sancionador al Contratista por su supuesta responsabilidad al haber dado lugar a la resolución de la Orden de Servicio Nº 0000152, derivada de la Adjudicación de Menor Cuantía Nº 008-2008/PROSAAMER; infracción tipificada en el numeral 2 del artículo 294º del Reglamento de la Ley. Asimismo, se le emplazó para que dentro del plazo de diez (10) días hábiles presente sus descargos, bajo apercibimiento de resolver con la documentación obrante en autos.</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Con  escritos de fecha 08 y 09 de febrero de 2011, el Contratista presentó sus descargos en los siguientes términos:</w:t>
      </w:r>
    </w:p>
    <w:p w:rsidR="002A5E04" w:rsidRPr="00D25907" w:rsidRDefault="002A5E04" w:rsidP="002A5E04">
      <w:pPr>
        <w:pStyle w:val="Prrafodelista"/>
        <w:rPr>
          <w:rFonts w:ascii="Tahoma" w:hAnsi="Tahoma" w:cs="Tahoma"/>
          <w:sz w:val="20"/>
        </w:rPr>
      </w:pPr>
    </w:p>
    <w:p w:rsidR="002A5E04" w:rsidRPr="00D25907" w:rsidRDefault="002A5E04" w:rsidP="002A5E04">
      <w:pPr>
        <w:pStyle w:val="Prrafodelista"/>
        <w:widowControl/>
        <w:numPr>
          <w:ilvl w:val="0"/>
          <w:numId w:val="6"/>
        </w:numPr>
        <w:suppressAutoHyphens w:val="0"/>
        <w:jc w:val="both"/>
        <w:rPr>
          <w:rFonts w:ascii="Tahoma" w:hAnsi="Tahoma" w:cs="Tahoma"/>
          <w:sz w:val="20"/>
        </w:rPr>
      </w:pPr>
      <w:r w:rsidRPr="00D25907">
        <w:rPr>
          <w:rFonts w:ascii="Tahoma" w:hAnsi="Tahoma" w:cs="Tahoma"/>
          <w:sz w:val="20"/>
        </w:rPr>
        <w:t>En las Bases administrativas se indicó que el producto final consistía en un archivo físico de imágenes del PROSAAMER, compuesto por 400 fotografías a todo color en formato de presentación de diapositivas. El plazo era de 30 días, y la  forma de pago era como sigue: 40% a la presentación del Plan de Trabajo y 60% a la presentación del producto final.</w:t>
      </w:r>
    </w:p>
    <w:p w:rsidR="002A5E04" w:rsidRPr="00D25907" w:rsidRDefault="002A5E04" w:rsidP="002A5E04">
      <w:pPr>
        <w:pStyle w:val="Prrafodelista"/>
        <w:ind w:left="1440"/>
        <w:rPr>
          <w:rFonts w:ascii="Tahoma" w:hAnsi="Tahoma" w:cs="Tahoma"/>
          <w:sz w:val="20"/>
        </w:rPr>
      </w:pPr>
    </w:p>
    <w:p w:rsidR="002A5E04" w:rsidRPr="00D25907" w:rsidRDefault="002A5E04" w:rsidP="002A5E04">
      <w:pPr>
        <w:pStyle w:val="Prrafodelista"/>
        <w:widowControl/>
        <w:numPr>
          <w:ilvl w:val="0"/>
          <w:numId w:val="6"/>
        </w:numPr>
        <w:suppressAutoHyphens w:val="0"/>
        <w:jc w:val="both"/>
        <w:rPr>
          <w:rFonts w:ascii="Tahoma" w:hAnsi="Tahoma" w:cs="Tahoma"/>
          <w:sz w:val="20"/>
        </w:rPr>
      </w:pPr>
      <w:r w:rsidRPr="00D25907">
        <w:rPr>
          <w:rFonts w:ascii="Tahoma" w:hAnsi="Tahoma" w:cs="Tahoma"/>
          <w:sz w:val="20"/>
        </w:rPr>
        <w:t>El 31 de marzo de 2008 se recibió  la Orden de Servicio emitida por la Entidad para la realización del objeto de la convocatoria. El plazo de ejecución vencía el 30 de abril de 2008.</w:t>
      </w:r>
    </w:p>
    <w:p w:rsidR="002A5E04" w:rsidRPr="00D25907" w:rsidRDefault="002A5E04" w:rsidP="002A5E04">
      <w:pPr>
        <w:pStyle w:val="Prrafodelista"/>
        <w:rPr>
          <w:rFonts w:ascii="Tahoma" w:hAnsi="Tahoma" w:cs="Tahoma"/>
          <w:sz w:val="20"/>
        </w:rPr>
      </w:pPr>
    </w:p>
    <w:p w:rsidR="002A5E04" w:rsidRPr="00D25907" w:rsidRDefault="002A5E04" w:rsidP="002A5E04">
      <w:pPr>
        <w:pStyle w:val="Prrafodelista"/>
        <w:widowControl/>
        <w:numPr>
          <w:ilvl w:val="0"/>
          <w:numId w:val="6"/>
        </w:numPr>
        <w:suppressAutoHyphens w:val="0"/>
        <w:jc w:val="both"/>
        <w:rPr>
          <w:rFonts w:ascii="Tahoma" w:hAnsi="Tahoma" w:cs="Tahoma"/>
          <w:sz w:val="20"/>
        </w:rPr>
      </w:pPr>
      <w:r w:rsidRPr="00D25907">
        <w:rPr>
          <w:rFonts w:ascii="Tahoma" w:hAnsi="Tahoma" w:cs="Tahoma"/>
          <w:sz w:val="20"/>
        </w:rPr>
        <w:t>Se cumplió con presentar el Plan de Trabajo, mediante el cual se detallaba la metodología del servicio a realizarse,  los plazos de ejecución y los materiales a utilizarse.</w:t>
      </w:r>
    </w:p>
    <w:p w:rsidR="002A5E04" w:rsidRPr="00D25907" w:rsidRDefault="002A5E04" w:rsidP="002A5E04">
      <w:pPr>
        <w:pStyle w:val="Prrafodelista"/>
        <w:rPr>
          <w:rFonts w:ascii="Tahoma" w:hAnsi="Tahoma" w:cs="Tahoma"/>
          <w:sz w:val="20"/>
        </w:rPr>
      </w:pPr>
    </w:p>
    <w:p w:rsidR="002A5E04" w:rsidRPr="00D25907" w:rsidRDefault="002A5E04" w:rsidP="002A5E04">
      <w:pPr>
        <w:pStyle w:val="Prrafodelista"/>
        <w:widowControl/>
        <w:numPr>
          <w:ilvl w:val="0"/>
          <w:numId w:val="6"/>
        </w:numPr>
        <w:suppressAutoHyphens w:val="0"/>
        <w:jc w:val="both"/>
        <w:rPr>
          <w:rFonts w:ascii="Tahoma" w:hAnsi="Tahoma" w:cs="Tahoma"/>
          <w:sz w:val="20"/>
        </w:rPr>
      </w:pPr>
      <w:r w:rsidRPr="00D25907">
        <w:rPr>
          <w:rFonts w:ascii="Tahoma" w:hAnsi="Tahoma" w:cs="Tahoma"/>
          <w:sz w:val="20"/>
        </w:rPr>
        <w:t xml:space="preserve">A pesar de la entrega del Plan de Trabajo, la Entidad no cumplió con realizar el pago correspondiente al 40% del monto total del contrato, equivalente a </w:t>
      </w:r>
      <w:r w:rsidRPr="00D25907">
        <w:rPr>
          <w:rFonts w:ascii="Tahoma" w:hAnsi="Tahoma" w:cs="Tahoma"/>
          <w:sz w:val="20"/>
        </w:rPr>
        <w:br/>
        <w:t>S/. 4000.00 Nuevos Soles, los cuales servirían para solventar la compra de los materiales, equipos para realizar el servicio, además de movilidad y viáticos  necesarios para cumplir con el objeto de la convocatoria.</w:t>
      </w:r>
    </w:p>
    <w:p w:rsidR="002A5E04" w:rsidRPr="00D25907" w:rsidRDefault="002A5E04" w:rsidP="002A5E04">
      <w:pPr>
        <w:pStyle w:val="Prrafodelista"/>
        <w:rPr>
          <w:rFonts w:ascii="Tahoma" w:hAnsi="Tahoma" w:cs="Tahoma"/>
          <w:sz w:val="20"/>
        </w:rPr>
      </w:pPr>
    </w:p>
    <w:p w:rsidR="002A5E04" w:rsidRPr="00D25907" w:rsidRDefault="002A5E04" w:rsidP="002A5E04">
      <w:pPr>
        <w:pStyle w:val="Prrafodelista"/>
        <w:widowControl/>
        <w:numPr>
          <w:ilvl w:val="0"/>
          <w:numId w:val="6"/>
        </w:numPr>
        <w:suppressAutoHyphens w:val="0"/>
        <w:jc w:val="both"/>
        <w:rPr>
          <w:rFonts w:ascii="Tahoma" w:hAnsi="Tahoma" w:cs="Tahoma"/>
          <w:sz w:val="20"/>
        </w:rPr>
      </w:pPr>
      <w:r w:rsidRPr="00D25907">
        <w:rPr>
          <w:rFonts w:ascii="Tahoma" w:hAnsi="Tahoma" w:cs="Tahoma"/>
          <w:sz w:val="20"/>
        </w:rPr>
        <w:t>La Entidad contaba con el número de cuenta para hacer el depósito del 40% del monto del contrato.</w:t>
      </w:r>
    </w:p>
    <w:p w:rsidR="002A5E04" w:rsidRPr="00D25907" w:rsidRDefault="002A5E04" w:rsidP="002A5E04">
      <w:pPr>
        <w:pStyle w:val="Prrafodelista"/>
        <w:rPr>
          <w:rFonts w:ascii="Tahoma" w:hAnsi="Tahoma" w:cs="Tahoma"/>
          <w:sz w:val="20"/>
        </w:rPr>
      </w:pPr>
    </w:p>
    <w:p w:rsidR="002A5E04" w:rsidRPr="00D25907" w:rsidRDefault="002A5E04" w:rsidP="002A5E04">
      <w:pPr>
        <w:pStyle w:val="Prrafodelista"/>
        <w:widowControl/>
        <w:numPr>
          <w:ilvl w:val="0"/>
          <w:numId w:val="6"/>
        </w:numPr>
        <w:suppressAutoHyphens w:val="0"/>
        <w:jc w:val="both"/>
        <w:rPr>
          <w:rFonts w:ascii="Tahoma" w:hAnsi="Tahoma" w:cs="Tahoma"/>
          <w:sz w:val="20"/>
        </w:rPr>
      </w:pPr>
      <w:r w:rsidRPr="00D25907">
        <w:rPr>
          <w:rFonts w:ascii="Tahoma" w:hAnsi="Tahoma" w:cs="Tahoma"/>
          <w:sz w:val="20"/>
        </w:rPr>
        <w:lastRenderedPageBreak/>
        <w:t>A pesar de la referida inobservancia  de la Entidad, se requirió el cumplimiento de las obligaciones y se resolvió el contrato, sin considerar que el incumplimiento a los términos contractuales le era atribuible, pues al haberse presentado el Plan de Trabajo, debió cumplirse con el pago respectivo.</w:t>
      </w:r>
    </w:p>
    <w:p w:rsidR="002A5E04" w:rsidRPr="00D25907" w:rsidRDefault="002A5E04" w:rsidP="002A5E04">
      <w:pPr>
        <w:pStyle w:val="Prrafodelista"/>
        <w:rPr>
          <w:rFonts w:ascii="Tahoma" w:hAnsi="Tahoma" w:cs="Tahoma"/>
          <w:sz w:val="20"/>
        </w:rPr>
      </w:pPr>
    </w:p>
    <w:p w:rsidR="002A5E04" w:rsidRPr="00D25907" w:rsidRDefault="002A5E04" w:rsidP="002A5E04">
      <w:pPr>
        <w:pStyle w:val="Prrafodelista"/>
        <w:widowControl/>
        <w:numPr>
          <w:ilvl w:val="0"/>
          <w:numId w:val="6"/>
        </w:numPr>
        <w:suppressAutoHyphens w:val="0"/>
        <w:jc w:val="both"/>
        <w:rPr>
          <w:rFonts w:ascii="Tahoma" w:hAnsi="Tahoma" w:cs="Tahoma"/>
          <w:sz w:val="20"/>
        </w:rPr>
      </w:pPr>
      <w:r w:rsidRPr="00D25907">
        <w:rPr>
          <w:rFonts w:ascii="Tahoma" w:hAnsi="Tahoma" w:cs="Tahoma"/>
          <w:sz w:val="20"/>
        </w:rPr>
        <w:t xml:space="preserve">En virtud  a ello, debe concluirse que cualquier incumplimiento se debió por causal atribuible a la Entidad y no al Contratista. </w:t>
      </w:r>
    </w:p>
    <w:p w:rsidR="002A5E04" w:rsidRPr="00D25907" w:rsidRDefault="002A5E04" w:rsidP="002A5E04">
      <w:pPr>
        <w:pStyle w:val="Prrafodelista"/>
        <w:rPr>
          <w:rFonts w:ascii="Tahoma" w:hAnsi="Tahoma" w:cs="Tahoma"/>
          <w:sz w:val="20"/>
        </w:rPr>
      </w:pPr>
    </w:p>
    <w:p w:rsidR="002A5E04" w:rsidRPr="00D25907" w:rsidRDefault="002A5E04" w:rsidP="002A5E04">
      <w:pPr>
        <w:pStyle w:val="Prrafodelista"/>
        <w:widowControl/>
        <w:numPr>
          <w:ilvl w:val="0"/>
          <w:numId w:val="6"/>
        </w:numPr>
        <w:suppressAutoHyphens w:val="0"/>
        <w:jc w:val="both"/>
        <w:rPr>
          <w:rFonts w:ascii="Tahoma" w:hAnsi="Tahoma" w:cs="Tahoma"/>
          <w:sz w:val="20"/>
        </w:rPr>
      </w:pPr>
      <w:r w:rsidRPr="00D25907">
        <w:rPr>
          <w:rFonts w:ascii="Tahoma" w:hAnsi="Tahoma" w:cs="Tahoma"/>
          <w:sz w:val="20"/>
        </w:rPr>
        <w:t>Como medio probatorio adjuntó una Declaración Jurada de fecha 04 de febrero de 2011, suscrita por el Sr. Raúl Argandoña Orellana, quien fuera Consultor encargado de la coordinación de las actividades de comunicación de la Entidad, en la que afirma que el Contratista presentó el Plan de Trabajo y a pesar de ello, no se cumplió con el pago correspondiente.</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Con decreto de fecha 17 de febrero de 2011, se tuvo por apersonado al Contratista y se remitió el expediente a la Primera Sala del Tribunal para que emita pronunciamiento.</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Mediante decreto de fecha 18 de febrero de 2011, se corrió traslado a la Entidad de los descargos presentados.</w:t>
      </w:r>
    </w:p>
    <w:p w:rsidR="002A5E04" w:rsidRPr="00D25907" w:rsidRDefault="002A5E04" w:rsidP="002A5E04">
      <w:pPr>
        <w:pStyle w:val="Prrafodelista"/>
        <w:rPr>
          <w:rFonts w:ascii="Tahoma" w:hAnsi="Tahoma" w:cs="Tahoma"/>
          <w:sz w:val="20"/>
          <w:lang w:val="es-ES"/>
        </w:rPr>
      </w:pPr>
    </w:p>
    <w:p w:rsidR="002A5E04" w:rsidRPr="00D25907" w:rsidRDefault="002A5E04" w:rsidP="002A5E04">
      <w:pPr>
        <w:ind w:left="720"/>
        <w:rPr>
          <w:rFonts w:ascii="Tahoma" w:hAnsi="Tahoma" w:cs="Tahoma"/>
          <w:sz w:val="20"/>
          <w:szCs w:val="20"/>
        </w:rPr>
      </w:pPr>
      <w:r w:rsidRPr="00D25907">
        <w:rPr>
          <w:rFonts w:ascii="Tahoma" w:hAnsi="Tahoma" w:cs="Tahoma"/>
          <w:sz w:val="20"/>
          <w:szCs w:val="20"/>
        </w:rPr>
        <w:t>A pesar de las reiteraciones realizadas con decretos de fechas 28 de febrero y 09 de marzo de 2011, la Entidad no cumplió con absolver los descargos presentados.</w:t>
      </w: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El 28 de marzo de 2011, el Postor indicó que pese a la prorroga conferida, la Entidad no ha cumplido con absolver el traslado a los descargos presentados, en los cuales se indicó que el incumplimiento se debía a la negligencia de la Entidad. Por tal motivo, se solicita a este Colegiado tener en cuenta la conducta procedimental de la Entidad y que los argumentos de defensa expuestos no han sido rebatidos.</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El 29 de marzo de 2011, no se llevó a cabo la diligencia de audiencia pública, por inasistencia de las partes.</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 xml:space="preserve">Con decreto de fecha 29 de marzo de 2011, se requirió información adicional a la Entidad y al Contratista a efectos que indiquen </w:t>
      </w:r>
      <w:r w:rsidRPr="00D25907">
        <w:rPr>
          <w:rFonts w:ascii="Tahoma" w:hAnsi="Tahoma" w:cs="Tahoma"/>
          <w:color w:val="000000"/>
          <w:sz w:val="20"/>
          <w:szCs w:val="20"/>
          <w:lang w:val="es-PE"/>
        </w:rPr>
        <w:t>la fecha exacta en la cual el Sr. Renzo Babilonia Fernández Baca, presentó el Plan de Trabajo derivado de la Orden de Servicio Nº 0000152, correspondiente a la Adjudicación de Menor Cuantía Nº 008-2008/PROSAAMER.</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Con decretos de fechas 12 y 18 de abril de 2011, se reiteró a las partes la información solicitada.</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Mediante decreto de fecha 27 de abril de 2008, no habiendo cumplido las partes con remitir la información solicitada, se hizo efectivo el apercibimiento de resolver con la documentación obrante en autos.</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5"/>
        </w:numPr>
        <w:spacing w:after="0" w:line="240" w:lineRule="auto"/>
        <w:jc w:val="both"/>
        <w:rPr>
          <w:rFonts w:ascii="Tahoma" w:hAnsi="Tahoma" w:cs="Tahoma"/>
          <w:sz w:val="20"/>
          <w:szCs w:val="20"/>
        </w:rPr>
      </w:pPr>
      <w:r w:rsidRPr="00D25907">
        <w:rPr>
          <w:rFonts w:ascii="Tahoma" w:hAnsi="Tahoma" w:cs="Tahoma"/>
          <w:sz w:val="20"/>
          <w:szCs w:val="20"/>
        </w:rPr>
        <w:t xml:space="preserve">Con escrito de fecha 05 de mayo de 2011, el Contratista solicitó se tome en consideración la conducta de la Entidad en no remitir la información requerida, y que no se podía entregar el cargo de entrega del Plan de Trabajo pues no se ubicó dicho documento por la antigüedad del proceso. Ese documento también podría se proporcionado por la Entidad. </w:t>
      </w:r>
    </w:p>
    <w:p w:rsidR="002A5E04" w:rsidRPr="00D25907" w:rsidRDefault="002A5E04" w:rsidP="002A5E04">
      <w:pPr>
        <w:tabs>
          <w:tab w:val="num" w:pos="9720"/>
        </w:tabs>
        <w:spacing w:after="0" w:line="240" w:lineRule="auto"/>
        <w:jc w:val="both"/>
        <w:rPr>
          <w:rFonts w:ascii="Tahoma" w:hAnsi="Tahoma" w:cs="Tahoma"/>
          <w:b/>
          <w:sz w:val="20"/>
          <w:szCs w:val="20"/>
        </w:rPr>
      </w:pPr>
    </w:p>
    <w:p w:rsidR="002A5E04" w:rsidRDefault="002A5E04" w:rsidP="002A5E04">
      <w:pPr>
        <w:tabs>
          <w:tab w:val="num" w:pos="9720"/>
        </w:tabs>
        <w:spacing w:after="0" w:line="240" w:lineRule="auto"/>
        <w:jc w:val="both"/>
        <w:rPr>
          <w:rFonts w:ascii="Tahoma" w:hAnsi="Tahoma" w:cs="Tahoma"/>
          <w:b/>
          <w:sz w:val="20"/>
          <w:szCs w:val="20"/>
        </w:rPr>
      </w:pPr>
      <w:r w:rsidRPr="00D25907">
        <w:rPr>
          <w:rFonts w:ascii="Tahoma" w:hAnsi="Tahoma" w:cs="Tahoma"/>
          <w:b/>
          <w:sz w:val="20"/>
          <w:szCs w:val="20"/>
        </w:rPr>
        <w:lastRenderedPageBreak/>
        <w:t>FUNDAMENTACIÓN:</w:t>
      </w:r>
    </w:p>
    <w:p w:rsidR="007B0631" w:rsidRPr="00D25907" w:rsidRDefault="007B0631" w:rsidP="002A5E04">
      <w:pPr>
        <w:tabs>
          <w:tab w:val="num" w:pos="9720"/>
        </w:tabs>
        <w:spacing w:after="0" w:line="240" w:lineRule="auto"/>
        <w:jc w:val="both"/>
        <w:rPr>
          <w:rFonts w:ascii="Tahoma" w:hAnsi="Tahoma" w:cs="Tahoma"/>
          <w:b/>
          <w:sz w:val="20"/>
          <w:szCs w:val="20"/>
        </w:rPr>
      </w:pPr>
    </w:p>
    <w:p w:rsidR="002A5E04" w:rsidRPr="00D25907" w:rsidRDefault="002A5E04" w:rsidP="002A5E04">
      <w:pPr>
        <w:rPr>
          <w:rFonts w:ascii="Tahoma" w:hAnsi="Tahoma" w:cs="Tahoma"/>
          <w:b/>
          <w:bCs/>
          <w:sz w:val="20"/>
          <w:szCs w:val="20"/>
        </w:rPr>
      </w:pPr>
      <w:r w:rsidRPr="00D25907">
        <w:rPr>
          <w:rFonts w:ascii="Tahoma" w:hAnsi="Tahoma" w:cs="Tahoma"/>
          <w:b/>
          <w:bCs/>
          <w:sz w:val="20"/>
          <w:szCs w:val="20"/>
          <w:u w:val="single"/>
        </w:rPr>
        <w:t>De la Competencia del Tribunal de Contrataciones del Estado</w:t>
      </w: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El numeral 1 del artículo 235 de la Ley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En ese sentido, el Tribunal de Contrataciones del Estado es el órgano que tiene a su cargo el conocimiento y resolución de procedimientos de imposición de sanción de inhabilitación temporal o definitiva y económicas,  a que se contraen el artículo  y 52º de la Ley ( Texto Único Ordenado de la Ley de Contrataciones y Adquisiciones del Estado), a los proveedores, participantes, postores, contratistas y entidades, según corresponda, por infracciones a las disposiciones contenidas en la Ley y el presente Reglamento.</w:t>
      </w:r>
    </w:p>
    <w:p w:rsidR="00D25907" w:rsidRDefault="00D25907" w:rsidP="002A5E04">
      <w:pPr>
        <w:ind w:left="708"/>
        <w:rPr>
          <w:rFonts w:ascii="Tahoma" w:hAnsi="Tahoma" w:cs="Tahoma"/>
          <w:b/>
          <w:bCs/>
          <w:sz w:val="20"/>
          <w:szCs w:val="20"/>
          <w:u w:val="single"/>
        </w:rPr>
      </w:pPr>
    </w:p>
    <w:p w:rsidR="002A5E04" w:rsidRPr="00D25907" w:rsidRDefault="002A5E04" w:rsidP="002A5E04">
      <w:pPr>
        <w:ind w:left="708"/>
        <w:rPr>
          <w:rFonts w:ascii="Tahoma" w:hAnsi="Tahoma" w:cs="Tahoma"/>
          <w:b/>
          <w:bCs/>
          <w:sz w:val="20"/>
          <w:szCs w:val="20"/>
          <w:u w:val="single"/>
        </w:rPr>
      </w:pPr>
      <w:r w:rsidRPr="00D25907">
        <w:rPr>
          <w:rFonts w:ascii="Tahoma" w:hAnsi="Tahoma" w:cs="Tahoma"/>
          <w:b/>
          <w:bCs/>
          <w:sz w:val="20"/>
          <w:szCs w:val="20"/>
          <w:u w:val="single"/>
        </w:rPr>
        <w:t xml:space="preserve">Del Procedimiento Sancionador </w:t>
      </w: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Es materia del presente procedimiento administrativo la supuesta responsabilidad del Contratista por dar lugar a la resolución de la Orden de Servicio Nº 0000152, derivada de la Adjudicación de Menor Cuantía Nº 008-2008/PROSAAMER, para la contratación del servicio de elaboración del Banco de Imágenes de fotografías.</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En ese sentido, considerando el momento de ocurrencia de los hechos materia de la imputación, la determinación de la presente infracción administrativa debe ser analizada de conformidad con el Texto Único Ordenado de la Ley de Contrataciones y Adquisiciones del Estado, y su Reglamento, aprobado por Decretos Supremos Nº 083-2004-PCM y 084-2004-PCM, en lo sucesivo la Ley y el Reglamento, respectivamente, normas aplicables en el tiempo en el que se suscitaron los hechos.</w:t>
      </w:r>
    </w:p>
    <w:p w:rsidR="00D25907" w:rsidRDefault="00D25907" w:rsidP="00542FA2">
      <w:pPr>
        <w:ind w:left="708"/>
        <w:jc w:val="both"/>
        <w:rPr>
          <w:rFonts w:ascii="Tahoma" w:hAnsi="Tahoma" w:cs="Tahoma"/>
          <w:sz w:val="20"/>
          <w:szCs w:val="20"/>
        </w:rPr>
      </w:pPr>
    </w:p>
    <w:p w:rsidR="002A5E04" w:rsidRPr="00D25907" w:rsidRDefault="002A5E04" w:rsidP="00542FA2">
      <w:pPr>
        <w:ind w:left="708"/>
        <w:jc w:val="both"/>
        <w:rPr>
          <w:rFonts w:ascii="Tahoma" w:hAnsi="Tahoma" w:cs="Tahoma"/>
          <w:sz w:val="20"/>
          <w:szCs w:val="20"/>
        </w:rPr>
      </w:pPr>
      <w:r w:rsidRPr="00D25907">
        <w:rPr>
          <w:rFonts w:ascii="Tahoma" w:hAnsi="Tahoma" w:cs="Tahoma"/>
          <w:sz w:val="20"/>
          <w:szCs w:val="20"/>
        </w:rPr>
        <w:t>Al respecto, la infracción imputada al Contratista corresponde a la señalada en el numeral 2) del artículo 294 del Reglamento.</w:t>
      </w:r>
    </w:p>
    <w:p w:rsidR="002A5E04" w:rsidRPr="00D25907" w:rsidRDefault="002A5E04" w:rsidP="00542FA2">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 xml:space="preserve">La mencionada imputación establece como supuesto de hecho indispensable para su configuración, </w:t>
      </w:r>
      <w:r w:rsidRPr="00D25907">
        <w:rPr>
          <w:rFonts w:ascii="Tahoma" w:hAnsi="Tahoma" w:cs="Tahoma"/>
          <w:b/>
          <w:bCs/>
          <w:sz w:val="20"/>
          <w:szCs w:val="20"/>
        </w:rPr>
        <w:t>la resolución del contrato, orden de compra o de servicios, según corresponda, por causal atribuible a la Contratista</w:t>
      </w:r>
      <w:r w:rsidRPr="00D25907">
        <w:rPr>
          <w:rFonts w:ascii="Tahoma" w:hAnsi="Tahoma" w:cs="Tahoma"/>
          <w:sz w:val="20"/>
          <w:szCs w:val="20"/>
        </w:rPr>
        <w:t xml:space="preserve">. </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El referido procedimiento de resolución contractual ha sido previsto en el artículo 226 del Reglamento, el cual dispone que en caso de incumplimiento contractual, la parte afectada requerirá a la otra notarialmente para que satisfaga sus obligaciones en un plazo no mayor de cinco (5) días, bajo apercibimiento de resolver el contrato</w:t>
      </w:r>
      <w:r w:rsidRPr="00D25907">
        <w:rPr>
          <w:rFonts w:ascii="Tahoma" w:hAnsi="Tahoma" w:cs="Tahoma"/>
          <w:b/>
          <w:bCs/>
          <w:sz w:val="20"/>
          <w:szCs w:val="20"/>
        </w:rPr>
        <w:t>.</w:t>
      </w:r>
      <w:r w:rsidRPr="00D25907">
        <w:rPr>
          <w:rFonts w:ascii="Tahoma" w:hAnsi="Tahoma" w:cs="Tahoma"/>
          <w:sz w:val="20"/>
          <w:szCs w:val="20"/>
        </w:rPr>
        <w:t xml:space="preserve"> Dependiendo del monto contractual y de la complejidad, envergadura o sofisticación de la adquisición o contratación, </w:t>
      </w:r>
      <w:r w:rsidRPr="00D25907">
        <w:rPr>
          <w:rFonts w:ascii="Tahoma" w:hAnsi="Tahoma" w:cs="Tahoma"/>
          <w:b/>
          <w:bCs/>
          <w:sz w:val="20"/>
          <w:szCs w:val="20"/>
        </w:rPr>
        <w:t>la Entidad puede establecer plazos mayores, pero en ningún caso mayor a quince (15) días, plazo este último que se otorgará necesariamente en el caso de obras</w:t>
      </w:r>
      <w:r w:rsidRPr="00D25907">
        <w:rPr>
          <w:rFonts w:ascii="Tahoma" w:hAnsi="Tahoma" w:cs="Tahoma"/>
          <w:sz w:val="20"/>
          <w:szCs w:val="20"/>
        </w:rPr>
        <w:t xml:space="preserve">. </w:t>
      </w:r>
      <w:r w:rsidRPr="00D25907">
        <w:rPr>
          <w:rFonts w:ascii="Tahoma" w:hAnsi="Tahoma" w:cs="Tahoma"/>
          <w:b/>
          <w:bCs/>
          <w:sz w:val="20"/>
          <w:szCs w:val="20"/>
        </w:rPr>
        <w:t>Si vencido dicho plazo el incumplimiento continúa, la parte perjudicada resolverá el contrato en forma total o parcial, mediante carta notarial.</w:t>
      </w:r>
      <w:r w:rsidRPr="00D25907">
        <w:rPr>
          <w:rFonts w:ascii="Tahoma" w:hAnsi="Tahoma" w:cs="Tahoma"/>
          <w:sz w:val="20"/>
          <w:szCs w:val="20"/>
        </w:rPr>
        <w:t xml:space="preserve"> </w:t>
      </w:r>
      <w:r w:rsidRPr="00D25907">
        <w:rPr>
          <w:rFonts w:ascii="Tahoma" w:hAnsi="Tahoma" w:cs="Tahoma"/>
          <w:sz w:val="20"/>
          <w:szCs w:val="20"/>
          <w:lang w:val="es-ES_tradnl"/>
        </w:rPr>
        <w:t>Asimismo, el citado dispositivo reglamentario precisa que de continuar con el incumplimiento, la parte perjudicada comunicará notarialmente la resolución total o parcial del contrato.</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Conforme a los criterios utilizados por el Tribunal en anteriores oportunidades, para que la infracción imputada se configure, es menester que la Entidad, efectivamente, haya resuelto el contrato conforme al procedimiento descrito. De esta manera, aún en los casos en los que se haya generado el incumplimiento contractual, sin el Tribunal lograr verificar que la Entidad no ha resuelto el contrato en observancia de las normas citadas, la conducto no será pasible de sanción. Este criterio, además, ha sido recogido en el Acuerdo de Sala Plena Nº 018/010 del 04 de septiembre de 2002.</w:t>
      </w:r>
      <w:r w:rsidRPr="00D25907">
        <w:rPr>
          <w:rFonts w:ascii="Tahoma" w:hAnsi="Tahoma" w:cs="Tahoma"/>
          <w:sz w:val="20"/>
          <w:szCs w:val="20"/>
          <w:vertAlign w:val="superscript"/>
        </w:rPr>
        <w:footnoteReference w:id="2"/>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En ese orden de ideas, corresponde determinar de manera previa si la Entidad ha seguido el debido procedimiento para la resolución de contrato, conforme a lo previsto en el artículo 226º del Reglamento.</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Sobre el particular, de la documentación obrante en autos, se observa que la Entidad remitió al Contratista, vía conducto notarial, dos (02) comunicaciones:</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9"/>
        </w:numPr>
        <w:spacing w:after="0" w:line="240" w:lineRule="auto"/>
        <w:jc w:val="both"/>
        <w:rPr>
          <w:rFonts w:ascii="Tahoma" w:hAnsi="Tahoma" w:cs="Tahoma"/>
          <w:b/>
          <w:bCs/>
          <w:sz w:val="20"/>
          <w:szCs w:val="20"/>
        </w:rPr>
      </w:pPr>
      <w:r w:rsidRPr="00D25907">
        <w:rPr>
          <w:rFonts w:ascii="Tahoma" w:hAnsi="Tahoma" w:cs="Tahoma"/>
          <w:sz w:val="20"/>
          <w:szCs w:val="20"/>
        </w:rPr>
        <w:t>Carta  de fecha 03 de julio de 2008, notificada por conducto notarial el 04 del mismo mes y año, mediante la cual se le indicó al Contratista que no había cumplido con la integridad de sus obligaciones, por tal motivo se le requirió que en el plazo de 05 días cumpla con entregar el archivo físico de imágenes conformado por 400 fotografías a full color.</w:t>
      </w:r>
    </w:p>
    <w:p w:rsidR="002A5E04" w:rsidRPr="00D25907" w:rsidRDefault="002A5E04" w:rsidP="002A5E04">
      <w:pPr>
        <w:ind w:left="1440"/>
        <w:rPr>
          <w:rFonts w:ascii="Tahoma" w:hAnsi="Tahoma" w:cs="Tahoma"/>
          <w:b/>
          <w:bCs/>
          <w:sz w:val="20"/>
          <w:szCs w:val="20"/>
        </w:rPr>
      </w:pPr>
    </w:p>
    <w:p w:rsidR="002A5E04" w:rsidRPr="00D25907" w:rsidRDefault="002A5E04" w:rsidP="002A5E04">
      <w:pPr>
        <w:numPr>
          <w:ilvl w:val="0"/>
          <w:numId w:val="9"/>
        </w:numPr>
        <w:spacing w:after="0" w:line="240" w:lineRule="auto"/>
        <w:jc w:val="both"/>
        <w:rPr>
          <w:rFonts w:ascii="Tahoma" w:hAnsi="Tahoma" w:cs="Tahoma"/>
          <w:sz w:val="20"/>
          <w:szCs w:val="20"/>
        </w:rPr>
      </w:pPr>
      <w:r w:rsidRPr="00D25907">
        <w:rPr>
          <w:rFonts w:ascii="Tahoma" w:hAnsi="Tahoma" w:cs="Tahoma"/>
          <w:sz w:val="20"/>
          <w:szCs w:val="20"/>
        </w:rPr>
        <w:t>Carta de fecha 08 de agosto de 2008, notificada por conducto notarial el 12 del mismo mes y año, la Entidad comunicó al contratista la resolución total del Contrato, pues si bien se había presentado de manera extemporánea el Plan de Trabajo, este por sí solo no tenía ninguna utilidad para la Entidad.</w:t>
      </w:r>
    </w:p>
    <w:p w:rsidR="002A5E04" w:rsidRPr="00D25907" w:rsidRDefault="002A5E04" w:rsidP="002A5E04">
      <w:pPr>
        <w:pStyle w:val="Prrafodelista"/>
        <w:rPr>
          <w:rFonts w:ascii="Tahoma" w:hAnsi="Tahoma" w:cs="Tahoma"/>
          <w:sz w:val="20"/>
          <w:highlight w:val="yellow"/>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De esta manera, se verifica que la Entidad ha observado la formalidad establecida en el artículo 226º del Reglamento, requisito indispensable de verificación del cumplimiento del debido procedimiento de resolución de contrato, a fin que la acción del Contratista al haber incumplido sus obligaciones contractuales - que dieron lugar a la resolución de contrato por causa atribuible a su parte - sea típica.</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Al respecto, es importante indicar</w:t>
      </w:r>
      <w:r w:rsidRPr="00D25907">
        <w:rPr>
          <w:rFonts w:ascii="Tahoma" w:hAnsi="Tahoma" w:cs="Tahoma"/>
          <w:sz w:val="20"/>
          <w:szCs w:val="20"/>
          <w:lang w:val="es-ES_tradnl"/>
        </w:rPr>
        <w:t xml:space="preserve"> que, las controversias que surjan entre las partes sobre la ejecución, interpretación, resolución, inexistencia, ineficacia o invalidez del contrato se resolverán mediante conciliación y/o arbitraje, según el acuerdo de las partes, siendo que cualquiera de ellas tiene el derecho de solicitar su inicio. </w:t>
      </w:r>
    </w:p>
    <w:p w:rsidR="002A5E04" w:rsidRPr="00D25907" w:rsidRDefault="002A5E04" w:rsidP="002A5E04">
      <w:pPr>
        <w:pStyle w:val="Prrafodelista"/>
        <w:rPr>
          <w:rFonts w:ascii="Tahoma" w:hAnsi="Tahoma" w:cs="Tahoma"/>
          <w:sz w:val="20"/>
        </w:rPr>
      </w:pPr>
    </w:p>
    <w:p w:rsidR="002A5E04" w:rsidRPr="00D25907" w:rsidRDefault="002A5E04" w:rsidP="00D25907">
      <w:pPr>
        <w:ind w:left="720"/>
        <w:jc w:val="both"/>
        <w:rPr>
          <w:rFonts w:ascii="Tahoma" w:hAnsi="Tahoma" w:cs="Tahoma"/>
          <w:sz w:val="20"/>
          <w:szCs w:val="20"/>
        </w:rPr>
      </w:pPr>
      <w:r w:rsidRPr="00D25907">
        <w:rPr>
          <w:rFonts w:ascii="Tahoma" w:hAnsi="Tahoma" w:cs="Tahoma"/>
          <w:sz w:val="20"/>
          <w:szCs w:val="20"/>
          <w:lang w:val="es-ES_tradnl"/>
        </w:rPr>
        <w:t xml:space="preserve">Por tanto, siendo que la Entidad indicó, mediante </w:t>
      </w:r>
      <w:r w:rsidRPr="00D25907">
        <w:rPr>
          <w:rFonts w:ascii="Tahoma" w:hAnsi="Tahoma" w:cs="Tahoma"/>
          <w:sz w:val="20"/>
          <w:szCs w:val="20"/>
        </w:rPr>
        <w:t xml:space="preserve">Oficio Nº 121-2008-AG-UEP-PROSAAMER, que </w:t>
      </w:r>
      <w:r w:rsidRPr="00D25907">
        <w:rPr>
          <w:rFonts w:ascii="Tahoma" w:hAnsi="Tahoma" w:cs="Tahoma"/>
          <w:sz w:val="20"/>
          <w:szCs w:val="20"/>
          <w:lang w:val="es-ES_tradnl"/>
        </w:rPr>
        <w:t xml:space="preserve">el contratista no solicitó discutir la resolución del contrato dentro de los plazos legales establecidos para ello, a pesar de haber sido supuestamente afectado por la decisión de la Entidad, debe entenderse que consintió dicha actuación de la  Entidad al no haberla discutido en las instancias correspondientes, no constituyendo obligación de la </w:t>
      </w:r>
      <w:r w:rsidRPr="00D25907">
        <w:rPr>
          <w:rFonts w:ascii="Tahoma" w:hAnsi="Tahoma" w:cs="Tahoma"/>
          <w:sz w:val="20"/>
          <w:szCs w:val="20"/>
          <w:lang w:val="es-ES_tradnl"/>
        </w:rPr>
        <w:lastRenderedPageBreak/>
        <w:t>Entidad recurrir a tales mecanismos de manera previa a la resolución del vínculo contractual.</w:t>
      </w: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lang w:val="es-PE"/>
        </w:rPr>
        <w:t>En ese orden de ideas, corresponde determinar si el Contratista, obligado a cumplir cabalmente con lo ofrecido en su propuesta y en cualquier manifestación formal documentada que haya aportado en el curso del proceso de selección, según lo dispuesto en la Ley de Contrataciones del Estado</w:t>
      </w:r>
      <w:r w:rsidRPr="00D25907">
        <w:rPr>
          <w:rStyle w:val="Refdenotaalpie"/>
          <w:rFonts w:ascii="Tahoma" w:hAnsi="Tahoma" w:cs="Tahoma"/>
          <w:sz w:val="20"/>
          <w:szCs w:val="20"/>
        </w:rPr>
        <w:t>,</w:t>
      </w:r>
      <w:r w:rsidRPr="00D25907">
        <w:rPr>
          <w:rFonts w:ascii="Tahoma" w:hAnsi="Tahoma" w:cs="Tahoma"/>
          <w:sz w:val="20"/>
          <w:szCs w:val="20"/>
        </w:rPr>
        <w:t>,</w:t>
      </w:r>
      <w:r w:rsidRPr="00D25907">
        <w:rPr>
          <w:rFonts w:ascii="Tahoma" w:hAnsi="Tahoma" w:cs="Tahoma"/>
          <w:sz w:val="20"/>
          <w:szCs w:val="20"/>
          <w:lang w:val="es-PE"/>
        </w:rPr>
        <w:t xml:space="preserve"> es responsable de la resolución de la referida orden de compra por el incumplimiento injustificado de sus obligaciones contractuales, ya que </w:t>
      </w:r>
      <w:r w:rsidRPr="00D25907">
        <w:rPr>
          <w:rFonts w:ascii="Tahoma" w:hAnsi="Tahoma" w:cs="Tahoma"/>
          <w:sz w:val="20"/>
          <w:szCs w:val="20"/>
        </w:rPr>
        <w:t>en el supuesto de haberse producido por razones de fuerza mayor o caso fortuito, estaremos ante causas justificantes de la inejecución de obligaciones a su cargo.</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Sobre el particular, es necesario indicar que en los casos de incumplimiento de obligaciones, existe la presunción legal establecida en el artículo 1329 del Código Civil, según el cual se entiende que el incumplimiento es producto de la falta de diligencia del deudor. Esto genera en la persona del deudor el deber de demostrar lo contrario y acreditar que, pese a haber actuado con la diligencia ordinaria exigida por la naturaleza de la prestación, le resultó imposible cumplirla.</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 xml:space="preserve"> En este punto, de la revisión efectuada a las Bases y a la Orden de Servicio, se advierte que este fue suscrito ( recepción de la orden de servicio) con fecha 31 de marzo de 2008 y que el objeto del proceso de selección en cuestión, es el servicio de elaboración de banco de imágenes fotográficas, para lo cual el contratista debía entregar como producto “ 01 archivo físico de imágenes del PROSAAMER, compuesto por 400 fotografías a full color en formato de presentación slide” en un plazo de 30 días calendario, a partir de la recepción de la orden de servicio.</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 xml:space="preserve">Asimismo, en cuanto a la metodología del trabajo según lo señalado en el numeral IV del Capítulo III referido a los términos de referencia, se estableció entre otros: </w:t>
      </w:r>
      <w:r w:rsidRPr="00D25907">
        <w:rPr>
          <w:rFonts w:ascii="Tahoma" w:hAnsi="Tahoma" w:cs="Tahoma"/>
          <w:b/>
          <w:bCs/>
          <w:sz w:val="20"/>
          <w:szCs w:val="20"/>
        </w:rPr>
        <w:t xml:space="preserve">“… que el proveedor responsable entregará al Proyecto un Plan de Trabajo con la programación de actividades que serán contempladas para el desarrollo de la consultoría, los gastos que impliquen los traslados para la labor de campo </w:t>
      </w:r>
      <w:r w:rsidR="00D25907" w:rsidRPr="00D25907">
        <w:rPr>
          <w:rFonts w:ascii="Tahoma" w:hAnsi="Tahoma" w:cs="Tahoma"/>
          <w:b/>
          <w:bCs/>
          <w:sz w:val="20"/>
          <w:szCs w:val="20"/>
        </w:rPr>
        <w:t>(pasajes</w:t>
      </w:r>
      <w:r w:rsidRPr="00D25907">
        <w:rPr>
          <w:rFonts w:ascii="Tahoma" w:hAnsi="Tahoma" w:cs="Tahoma"/>
          <w:b/>
          <w:bCs/>
          <w:sz w:val="20"/>
          <w:szCs w:val="20"/>
        </w:rPr>
        <w:t>, viáticos y alimentación) serán asumidos por el proveedor…”</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 xml:space="preserve">De otro lado, de la revisión de la propuesta técnica del contratista, se observa que éste declaró que el plazo de entrega del producto </w:t>
      </w:r>
      <w:r w:rsidRPr="00D25907">
        <w:rPr>
          <w:rFonts w:ascii="Tahoma" w:hAnsi="Tahoma" w:cs="Tahoma"/>
          <w:b/>
          <w:bCs/>
          <w:sz w:val="20"/>
          <w:szCs w:val="20"/>
        </w:rPr>
        <w:t xml:space="preserve">“01 archivo físico de imágenes del PROSAAMER, compuesto por 400 fotografías a full color en formato de presentación slide” </w:t>
      </w:r>
      <w:r w:rsidRPr="00D25907">
        <w:rPr>
          <w:rFonts w:ascii="Tahoma" w:hAnsi="Tahoma" w:cs="Tahoma"/>
          <w:sz w:val="20"/>
          <w:szCs w:val="20"/>
        </w:rPr>
        <w:t>sería en el t</w:t>
      </w:r>
      <w:r w:rsidRPr="00D25907">
        <w:rPr>
          <w:rFonts w:ascii="Tahoma" w:hAnsi="Tahoma" w:cs="Tahoma"/>
          <w:sz w:val="20"/>
          <w:szCs w:val="20"/>
          <w:lang w:eastAsia="ja-JP"/>
        </w:rPr>
        <w:t>érmino de 30 días calendario. Asimismo, indicó en cuanto a la metodología del trabajo que se coordinará con el director de comunicaciones de la Entidad la entrega del archivo físico de imágenes. La entrega de imágenes será al regreso de cada viaje para poder coordinar los alcances del trabajo, el avance del mismo y recoger las sugerencias.</w:t>
      </w:r>
    </w:p>
    <w:p w:rsidR="002A5E04" w:rsidRPr="00D25907" w:rsidRDefault="002A5E04" w:rsidP="002A5E04">
      <w:pPr>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De igual forma, se advierte que mediante Carta Notarial de fecha 04 de julio de 2008, la Entidad le requirió a la Contratista para que dentro del plazo de cinco (05) días cumpliera con la entrega del producto, sin perjuicio de las penalidades por atraso en la ejecución de la prestación y bajo apercibimiento de resolución de contrato, toda vez que a la fecha únicamente había cumplido con la entrega del plan de trabajo (extemporánea). No obstante, al vencimiento del plazo éste no entregó el producto en las fechas establecidas, ni dio respuesta al requerimiento efectuado.</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Respecto a los hechos indicados, el Contratista ha manifestado en sus descargos que, efectivamente el plazo de ejecución vencía el 30 de abril de 2008, sin embargo, a pesar de presentar el Plan de Trabajo, no se cumplió con la integridad del servicio, debido a que  la Entidad no realizó el pago correspondiente al 40% del monto total del contrato, equivalente a S/. 4000.00 Nuevos Soles, los cuales servirían para solventar la compra de los materiales, equipos para realizar el servicio, además de movilidad y viáticos  necesarios para cumplir con el objeto de la convocatoria. Como sustento de lo antes indicado, el Contratista ha adjuntado copia de las Bases Administrativas.</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 xml:space="preserve">Cabe indicar que, si bien las Bases Administrativas en su Capítulo III referente a los términos de referencia señalaban en el </w:t>
      </w:r>
      <w:r w:rsidRPr="00D25907">
        <w:rPr>
          <w:rFonts w:ascii="Tahoma" w:hAnsi="Tahoma" w:cs="Tahoma"/>
          <w:b/>
          <w:bCs/>
          <w:sz w:val="20"/>
          <w:szCs w:val="20"/>
        </w:rPr>
        <w:t>numeral X. Forma de pago, que el mismo se efectuará de la siguiente manera: 40% a la presentación del plan de trabajo y 60% contra la presentación del producto señalado en los presentes términos de referencia</w:t>
      </w:r>
      <w:r w:rsidRPr="00D25907">
        <w:rPr>
          <w:rFonts w:ascii="Tahoma" w:hAnsi="Tahoma" w:cs="Tahoma"/>
          <w:sz w:val="20"/>
          <w:szCs w:val="20"/>
        </w:rPr>
        <w:t xml:space="preserve">, debidamente aprobados por la Dirección Ejecutiva del PROSAMER. Ello resulta exigible a la Entidad contratante en la medida que el mismo se haya ejecutado dentro del plazo legal establecido para su prestación- es decir en 30 días calendarios- plazo que a la luz de los antecedentes se había cumplido el </w:t>
      </w:r>
      <w:r w:rsidRPr="00D25907">
        <w:rPr>
          <w:rFonts w:ascii="Tahoma" w:hAnsi="Tahoma" w:cs="Tahoma"/>
          <w:sz w:val="20"/>
          <w:szCs w:val="20"/>
          <w:u w:val="single"/>
        </w:rPr>
        <w:t>30 de abril de 2008</w:t>
      </w:r>
      <w:r w:rsidRPr="00D25907">
        <w:rPr>
          <w:rFonts w:ascii="Tahoma" w:hAnsi="Tahoma" w:cs="Tahoma"/>
          <w:sz w:val="20"/>
          <w:szCs w:val="20"/>
        </w:rPr>
        <w:t>.</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Nótese además, que ante el requerimiento de la Entidad con fecha 04 de julio de 2008, ya se había vencido en exceso el plazo legal para la ejecución del contrato, asimismo, es de resaltarse que a tenor de la misiva de resolución contractual notificada a la contratista el 12 de agosto de 2008, la Entidad le indicó que el Plan de trabajo había sido presentado de manera extemporánea, es decir, fuera de los 30 días calendarios establecido como tiempo máximo para cumplir con la totalidad del servicio, por ello, la presentación del Plan de Trabajo, resultaba irrelevante y de poca utilidad para la Entidad, hecho que de por sí ya supone un incumplimiento directo a los términos de la orden de servicios Nº 0000152, y en consecuencia,  la no exigibilidad del pago correspondiente al 40% del monto final del contrato.</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Sin perjuicio de lo hasta aquí expuesto, es necesario indicar que pese a habérsele requerido a el Contratista a fin que remitiera el documento a través del cual se apreciara la fecha de recepción por la Entidad del Plan de Trabajo, según decretos de fecha 29 de marzo de 2011, 12 y 18 de abril del mismo año, éste hasta la fecha no ha cumplido con presentarla, no desvirtuando ante esta instancia lo indicado por la Entidad en la carta de resolución contractual, respecto a la extemporaneidad de la presentación del plan de trabajo, por lo que, se mantiene como válido lo argumentado por la Entidad.</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Por las consideraciones expuestas</w:t>
      </w:r>
      <w:r w:rsidRPr="00D25907">
        <w:rPr>
          <w:rFonts w:ascii="Tahoma" w:hAnsi="Tahoma" w:cs="Tahoma"/>
          <w:sz w:val="20"/>
          <w:szCs w:val="20"/>
          <w:lang w:val="es-ES_tradnl"/>
        </w:rPr>
        <w:t>, se evidencia que el contratista no cumplió con sus obligaciones en el plazo descrito en la Orden de Servicio Nº 00000152, a pesar de ser requerido para tales fines, y, atendiendo que no obra en autos medio probatorio alguno, relacionado con un caso fortuito o un hecho de fuerza mayor, que justifique la omisión de su cumplimiento en el plazo de 30 días calendarios, corresponde imponerle sanción administrativa.</w:t>
      </w:r>
    </w:p>
    <w:p w:rsidR="00D25907" w:rsidRP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lang w:val="es-ES_tradnl"/>
        </w:rPr>
        <w:t xml:space="preserve">En relación a la graduación de la sanción imponible, el artículo 294º del Reglamento establece que los postores que den lugar a la resolución del contrato serán sancionados con inhabilitación temporal para contratar con el Estado por un periodo no menor de uno </w:t>
      </w:r>
      <w:r w:rsidRPr="00D25907">
        <w:rPr>
          <w:rFonts w:ascii="Tahoma" w:hAnsi="Tahoma" w:cs="Tahoma"/>
          <w:sz w:val="20"/>
          <w:szCs w:val="20"/>
          <w:lang w:val="es-ES_tradnl"/>
        </w:rPr>
        <w:lastRenderedPageBreak/>
        <w:t xml:space="preserve">(1) año ni mayor de dos (2) años, </w:t>
      </w:r>
      <w:r w:rsidRPr="00D25907">
        <w:rPr>
          <w:rFonts w:ascii="Tahoma" w:hAnsi="Tahoma" w:cs="Tahoma"/>
          <w:sz w:val="20"/>
          <w:szCs w:val="20"/>
          <w:lang w:val="es-MX"/>
        </w:rPr>
        <w:t xml:space="preserve">conforme a los criterios </w:t>
      </w:r>
      <w:r w:rsidRPr="00D25907">
        <w:rPr>
          <w:rFonts w:ascii="Tahoma" w:hAnsi="Tahoma" w:cs="Tahoma"/>
          <w:sz w:val="20"/>
          <w:szCs w:val="20"/>
          <w:lang w:val="es-ES_tradnl"/>
        </w:rPr>
        <w:t>para la determinación gradual de la sanción previstos en el artículo 302 del Reglamento</w:t>
      </w:r>
      <w:r w:rsidRPr="00D25907">
        <w:rPr>
          <w:rFonts w:ascii="Tahoma" w:hAnsi="Tahoma" w:cs="Tahoma"/>
          <w:sz w:val="20"/>
          <w:szCs w:val="20"/>
          <w:vertAlign w:val="superscript"/>
          <w:lang w:val="es-ES_tradnl"/>
        </w:rPr>
        <w:footnoteReference w:id="3"/>
      </w:r>
      <w:r w:rsidRPr="00D25907">
        <w:rPr>
          <w:rFonts w:ascii="Tahoma" w:hAnsi="Tahoma" w:cs="Tahoma"/>
          <w:sz w:val="20"/>
          <w:szCs w:val="20"/>
          <w:lang w:val="es-ES_tradnl"/>
        </w:rPr>
        <w:t>.</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 xml:space="preserve">Asimismo, debe tenerse en cuenta que de acuerdo al </w:t>
      </w:r>
      <w:r w:rsidRPr="00D25907">
        <w:rPr>
          <w:rFonts w:ascii="Tahoma" w:hAnsi="Tahoma" w:cs="Tahoma"/>
          <w:i/>
          <w:iCs/>
          <w:sz w:val="20"/>
          <w:szCs w:val="20"/>
        </w:rPr>
        <w:t>Principio de Razonabilidad</w:t>
      </w:r>
      <w:r w:rsidRPr="00D25907">
        <w:rPr>
          <w:rFonts w:ascii="Tahoma" w:hAnsi="Tahoma" w:cs="Tahoma"/>
          <w:sz w:val="20"/>
          <w:szCs w:val="20"/>
        </w:rPr>
        <w:t>, consagrado en el numeral 3 del artículo 230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Bajo las premisas anotadas debe considerarse la naturaleza de la infracción que, en este caso, obedece a una cuestión de falta de responsabilidad en el deber del Contratista de honrar las prestaciones a su cargo.</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Adicionalmente, en lo que atañe a la conducta procesal del infractor durante la sustanciación del presente procedimiento administrativo sancionador, es necesario tener presente que el Contratista  se ha apersonado a la instancia y  presentado sus descargos oportunamente, aunque no ha reconocido la comisión de la infracción.</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En el mismo sentido, es necesario que este Tribunal preste atención al daño causado por el infractor.  Así, debe tenerse en cuenta que la conducta irregular del Contratista reviste de una considerable gravedad en la medida en que desde el momento en que se asumió un compromiso contractual frente a la Entidad, aquél se obligó a cumplir cabalmente con lo ofrecido, toda vez que es conocido que ante un eventual incumplimiento se retrasaría el cumplimiento de las metas institucionales de la Entidad en agravio de intereses de carácter público.</w:t>
      </w:r>
    </w:p>
    <w:p w:rsidR="002A5E04" w:rsidRPr="00D25907" w:rsidRDefault="002A5E04" w:rsidP="002A5E04">
      <w:pPr>
        <w:pStyle w:val="Prrafodelista"/>
        <w:rPr>
          <w:rFonts w:ascii="Tahoma" w:hAnsi="Tahoma" w:cs="Tahoma"/>
          <w:sz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 xml:space="preserve">Por otro lado, se debe tener en consideración, la cuantía de la Orden de Servicios por el monto de S/. 10,000.00 (Díez Mil y 00/100  Nuevos Soles). Así, como también no puede </w:t>
      </w:r>
      <w:r w:rsidRPr="00D25907">
        <w:rPr>
          <w:rFonts w:ascii="Tahoma" w:hAnsi="Tahoma" w:cs="Tahoma"/>
          <w:sz w:val="20"/>
          <w:szCs w:val="20"/>
        </w:rPr>
        <w:lastRenderedPageBreak/>
        <w:t>dejar de valorarse a favor del Contratista la circunstancia atenuante que carece de antecedentes al no haber sido inhabilitado anteriormente para participar en procesos de selección y contratar con el Estado.</w:t>
      </w:r>
    </w:p>
    <w:p w:rsidR="00D25907" w:rsidRDefault="00D25907" w:rsidP="00D25907">
      <w:pPr>
        <w:spacing w:after="0" w:line="240" w:lineRule="auto"/>
        <w:ind w:left="720"/>
        <w:jc w:val="both"/>
        <w:rPr>
          <w:rFonts w:ascii="Tahoma" w:hAnsi="Tahoma" w:cs="Tahoma"/>
          <w:sz w:val="20"/>
          <w:szCs w:val="20"/>
        </w:rPr>
      </w:pPr>
    </w:p>
    <w:p w:rsidR="002A5E04" w:rsidRPr="00D25907" w:rsidRDefault="002A5E04" w:rsidP="002A5E04">
      <w:pPr>
        <w:numPr>
          <w:ilvl w:val="0"/>
          <w:numId w:val="8"/>
        </w:numPr>
        <w:spacing w:after="0" w:line="240" w:lineRule="auto"/>
        <w:jc w:val="both"/>
        <w:rPr>
          <w:rFonts w:ascii="Tahoma" w:hAnsi="Tahoma" w:cs="Tahoma"/>
          <w:sz w:val="20"/>
          <w:szCs w:val="20"/>
        </w:rPr>
      </w:pPr>
      <w:r w:rsidRPr="00D25907">
        <w:rPr>
          <w:rFonts w:ascii="Tahoma" w:hAnsi="Tahoma" w:cs="Tahoma"/>
          <w:sz w:val="20"/>
          <w:szCs w:val="20"/>
        </w:rPr>
        <w:t xml:space="preserve"> Consecuentemente, considerando que existen circunstancias que permiten atenuar la responsabilidad del Contratista en la comisión de la infracción hasta límites inferiores al mínimo fijado para cada caso, por lo que corresponde en opinión de este Colegiado imponerle la sanción administrativa de inhabilitación temporal en sus derechos para participar en procesos de selección y contratar con el Estado por el período de diez (10) meses.</w:t>
      </w:r>
    </w:p>
    <w:p w:rsidR="002A5E04" w:rsidRPr="00D25907" w:rsidRDefault="002A5E04" w:rsidP="002A5E04">
      <w:pPr>
        <w:spacing w:after="0" w:line="240" w:lineRule="auto"/>
        <w:ind w:firstLine="567"/>
        <w:jc w:val="both"/>
        <w:rPr>
          <w:rFonts w:ascii="Tahoma" w:hAnsi="Tahoma" w:cs="Tahoma"/>
          <w:sz w:val="20"/>
          <w:szCs w:val="20"/>
        </w:rPr>
      </w:pPr>
    </w:p>
    <w:p w:rsidR="002A5E04" w:rsidRPr="00D25907" w:rsidRDefault="002A5E04" w:rsidP="002A5E04">
      <w:pPr>
        <w:spacing w:after="0" w:line="240" w:lineRule="auto"/>
        <w:ind w:left="-284" w:firstLine="360"/>
        <w:jc w:val="both"/>
        <w:rPr>
          <w:rFonts w:ascii="Tahoma" w:hAnsi="Tahoma" w:cs="Tahoma"/>
          <w:sz w:val="20"/>
          <w:szCs w:val="20"/>
        </w:rPr>
      </w:pPr>
      <w:r w:rsidRPr="00D25907">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2A5E04" w:rsidRPr="00D25907" w:rsidRDefault="002A5E04" w:rsidP="002A5E04">
      <w:pPr>
        <w:spacing w:after="0" w:line="240" w:lineRule="auto"/>
        <w:jc w:val="both"/>
        <w:rPr>
          <w:rFonts w:ascii="Tahoma" w:hAnsi="Tahoma" w:cs="Tahoma"/>
          <w:sz w:val="20"/>
          <w:szCs w:val="20"/>
        </w:rPr>
      </w:pPr>
    </w:p>
    <w:p w:rsidR="002A5E04" w:rsidRPr="00D25907" w:rsidRDefault="002A5E04" w:rsidP="002A5E04">
      <w:pPr>
        <w:spacing w:after="0" w:line="240" w:lineRule="auto"/>
        <w:ind w:right="-315"/>
        <w:jc w:val="both"/>
        <w:rPr>
          <w:rFonts w:ascii="Tahoma" w:hAnsi="Tahoma" w:cs="Tahoma"/>
          <w:b/>
          <w:sz w:val="20"/>
          <w:szCs w:val="20"/>
        </w:rPr>
      </w:pPr>
      <w:r w:rsidRPr="00D25907">
        <w:rPr>
          <w:rFonts w:ascii="Tahoma" w:hAnsi="Tahoma" w:cs="Tahoma"/>
          <w:b/>
          <w:sz w:val="20"/>
          <w:szCs w:val="20"/>
        </w:rPr>
        <w:t>LA SALA RESUELVE:</w:t>
      </w:r>
    </w:p>
    <w:p w:rsidR="00D25907" w:rsidRDefault="00D25907" w:rsidP="00D25907">
      <w:pPr>
        <w:spacing w:after="0" w:line="240" w:lineRule="auto"/>
        <w:ind w:left="567"/>
        <w:jc w:val="both"/>
        <w:rPr>
          <w:rFonts w:ascii="Tahoma" w:hAnsi="Tahoma" w:cs="Tahoma"/>
          <w:sz w:val="20"/>
          <w:szCs w:val="20"/>
        </w:rPr>
      </w:pPr>
    </w:p>
    <w:p w:rsidR="002A5E04" w:rsidRPr="00D25907" w:rsidRDefault="002A5E04" w:rsidP="002A5E04">
      <w:pPr>
        <w:numPr>
          <w:ilvl w:val="0"/>
          <w:numId w:val="10"/>
        </w:numPr>
        <w:tabs>
          <w:tab w:val="clear" w:pos="720"/>
          <w:tab w:val="num" w:pos="567"/>
        </w:tabs>
        <w:spacing w:after="0" w:line="240" w:lineRule="auto"/>
        <w:ind w:left="567" w:hanging="567"/>
        <w:jc w:val="both"/>
        <w:rPr>
          <w:rFonts w:ascii="Tahoma" w:hAnsi="Tahoma" w:cs="Tahoma"/>
          <w:sz w:val="20"/>
          <w:szCs w:val="20"/>
        </w:rPr>
      </w:pPr>
      <w:r w:rsidRPr="00D25907">
        <w:rPr>
          <w:rFonts w:ascii="Tahoma" w:hAnsi="Tahoma" w:cs="Tahoma"/>
          <w:sz w:val="20"/>
          <w:szCs w:val="20"/>
        </w:rPr>
        <w:t xml:space="preserve">Imponer al Sr. Renzo Martín Babilonia Fernández Baca, la sanción administrativa de inhabilitación temporal por el periodo de diez (10) meses en sus derechos de participar en procesos de selección y contratar con el Estado, por la comisión de la infracción tipificada en el numeral 2) del artículo 294 del Reglamento, la cual entrará en vigencia a partir del sexto día hábil siguiente de notificada la presente Resolución. </w:t>
      </w:r>
    </w:p>
    <w:p w:rsidR="00D25907" w:rsidRDefault="00D25907" w:rsidP="00D25907">
      <w:pPr>
        <w:spacing w:after="0" w:line="240" w:lineRule="auto"/>
        <w:ind w:left="567"/>
        <w:jc w:val="both"/>
        <w:rPr>
          <w:rFonts w:ascii="Tahoma" w:hAnsi="Tahoma" w:cs="Tahoma"/>
          <w:sz w:val="20"/>
          <w:szCs w:val="20"/>
        </w:rPr>
      </w:pPr>
    </w:p>
    <w:p w:rsidR="002A5E04" w:rsidRPr="00D25907" w:rsidRDefault="002A5E04" w:rsidP="002A5E04">
      <w:pPr>
        <w:numPr>
          <w:ilvl w:val="0"/>
          <w:numId w:val="10"/>
        </w:numPr>
        <w:tabs>
          <w:tab w:val="clear" w:pos="720"/>
          <w:tab w:val="num" w:pos="567"/>
        </w:tabs>
        <w:spacing w:after="0" w:line="240" w:lineRule="auto"/>
        <w:ind w:left="567" w:hanging="567"/>
        <w:jc w:val="both"/>
        <w:rPr>
          <w:rFonts w:ascii="Tahoma" w:hAnsi="Tahoma" w:cs="Tahoma"/>
          <w:sz w:val="20"/>
          <w:szCs w:val="20"/>
        </w:rPr>
      </w:pPr>
      <w:r w:rsidRPr="00D25907">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2A5E04" w:rsidRPr="00D25907" w:rsidRDefault="002A5E04" w:rsidP="002A5E04">
      <w:pPr>
        <w:pStyle w:val="Ttulo3"/>
        <w:spacing w:line="240" w:lineRule="auto"/>
        <w:jc w:val="both"/>
        <w:rPr>
          <w:rFonts w:ascii="Tahoma" w:hAnsi="Tahoma" w:cs="Tahoma"/>
          <w:b w:val="0"/>
          <w:bCs w:val="0"/>
          <w:sz w:val="20"/>
          <w:szCs w:val="20"/>
        </w:rPr>
      </w:pPr>
      <w:r w:rsidRPr="00D25907">
        <w:rPr>
          <w:rFonts w:ascii="Tahoma" w:hAnsi="Tahoma" w:cs="Tahoma"/>
          <w:b w:val="0"/>
          <w:sz w:val="20"/>
          <w:szCs w:val="20"/>
        </w:rPr>
        <w:t>Regístrese, comuníquese y publíquese.</w:t>
      </w:r>
    </w:p>
    <w:p w:rsidR="002A5E04" w:rsidRPr="00D25907" w:rsidRDefault="002A5E04" w:rsidP="002A5E04">
      <w:pPr>
        <w:spacing w:after="0" w:line="240" w:lineRule="auto"/>
        <w:jc w:val="both"/>
        <w:rPr>
          <w:rFonts w:ascii="Tahoma" w:hAnsi="Tahoma" w:cs="Tahoma"/>
          <w:b/>
          <w:shadow/>
          <w:sz w:val="20"/>
          <w:szCs w:val="20"/>
        </w:rPr>
      </w:pPr>
    </w:p>
    <w:p w:rsidR="002A5E04" w:rsidRPr="00D25907" w:rsidRDefault="002A5E04" w:rsidP="002A5E04">
      <w:pPr>
        <w:spacing w:after="0" w:line="240" w:lineRule="auto"/>
        <w:jc w:val="both"/>
        <w:rPr>
          <w:rFonts w:ascii="Tahoma" w:hAnsi="Tahoma" w:cs="Tahoma"/>
          <w:b/>
          <w:shadow/>
          <w:sz w:val="20"/>
          <w:szCs w:val="20"/>
        </w:rPr>
      </w:pPr>
    </w:p>
    <w:p w:rsidR="002A5E04" w:rsidRPr="00D25907" w:rsidRDefault="002A5E04" w:rsidP="002A5E04">
      <w:pPr>
        <w:spacing w:after="0" w:line="240" w:lineRule="auto"/>
        <w:jc w:val="both"/>
        <w:rPr>
          <w:rFonts w:ascii="Tahoma" w:hAnsi="Tahoma" w:cs="Tahoma"/>
          <w:b/>
          <w:shadow/>
          <w:sz w:val="20"/>
          <w:szCs w:val="20"/>
        </w:rPr>
      </w:pPr>
    </w:p>
    <w:p w:rsidR="002A5E04" w:rsidRPr="00D25907" w:rsidRDefault="002A5E04" w:rsidP="002A5E04">
      <w:pPr>
        <w:spacing w:after="0" w:line="240" w:lineRule="auto"/>
        <w:ind w:left="2832" w:firstLine="708"/>
        <w:jc w:val="both"/>
        <w:rPr>
          <w:rFonts w:ascii="Tahoma" w:hAnsi="Tahoma" w:cs="Tahoma"/>
          <w:b/>
          <w:shadow/>
          <w:sz w:val="20"/>
          <w:szCs w:val="20"/>
        </w:rPr>
      </w:pPr>
      <w:r w:rsidRPr="00D25907">
        <w:rPr>
          <w:rFonts w:ascii="Tahoma" w:hAnsi="Tahoma" w:cs="Tahoma"/>
          <w:b/>
          <w:shadow/>
          <w:sz w:val="20"/>
          <w:szCs w:val="20"/>
        </w:rPr>
        <w:t>PRESIDENTE</w:t>
      </w:r>
    </w:p>
    <w:p w:rsidR="002A5E04" w:rsidRPr="00D25907" w:rsidRDefault="002A5E04" w:rsidP="002A5E04">
      <w:pPr>
        <w:spacing w:after="0" w:line="240" w:lineRule="auto"/>
        <w:jc w:val="both"/>
        <w:rPr>
          <w:rFonts w:ascii="Tahoma" w:hAnsi="Tahoma" w:cs="Tahoma"/>
          <w:b/>
          <w:shadow/>
          <w:sz w:val="20"/>
          <w:szCs w:val="20"/>
        </w:rPr>
      </w:pPr>
    </w:p>
    <w:p w:rsidR="002A5E04" w:rsidRPr="00D25907" w:rsidRDefault="002A5E04" w:rsidP="002A5E04">
      <w:pPr>
        <w:spacing w:after="0" w:line="240" w:lineRule="auto"/>
        <w:jc w:val="both"/>
        <w:rPr>
          <w:rFonts w:ascii="Tahoma" w:hAnsi="Tahoma" w:cs="Tahoma"/>
          <w:b/>
          <w:shadow/>
          <w:sz w:val="20"/>
          <w:szCs w:val="20"/>
        </w:rPr>
      </w:pPr>
    </w:p>
    <w:p w:rsidR="002A5E04" w:rsidRPr="00D25907" w:rsidRDefault="002A5E04" w:rsidP="002A5E04">
      <w:pPr>
        <w:spacing w:after="0" w:line="240" w:lineRule="auto"/>
        <w:jc w:val="both"/>
        <w:rPr>
          <w:rFonts w:ascii="Tahoma" w:hAnsi="Tahoma" w:cs="Tahoma"/>
          <w:b/>
          <w:shadow/>
          <w:sz w:val="20"/>
          <w:szCs w:val="20"/>
        </w:rPr>
      </w:pPr>
    </w:p>
    <w:p w:rsidR="002A5E04" w:rsidRPr="00D25907" w:rsidRDefault="002A5E04" w:rsidP="002A5E04">
      <w:pPr>
        <w:spacing w:after="0" w:line="240" w:lineRule="auto"/>
        <w:jc w:val="both"/>
        <w:rPr>
          <w:rFonts w:ascii="Tahoma" w:hAnsi="Tahoma" w:cs="Tahoma"/>
          <w:b/>
          <w:shadow/>
          <w:sz w:val="20"/>
          <w:szCs w:val="20"/>
        </w:rPr>
      </w:pPr>
    </w:p>
    <w:p w:rsidR="002A5E04" w:rsidRPr="00D25907" w:rsidRDefault="002A5E04" w:rsidP="002A5E04">
      <w:pPr>
        <w:spacing w:after="0" w:line="240" w:lineRule="auto"/>
        <w:jc w:val="both"/>
        <w:rPr>
          <w:rFonts w:ascii="Tahoma" w:hAnsi="Tahoma" w:cs="Tahoma"/>
          <w:shadow/>
          <w:sz w:val="20"/>
          <w:szCs w:val="20"/>
        </w:rPr>
      </w:pPr>
      <w:r w:rsidRPr="00D25907">
        <w:rPr>
          <w:rFonts w:ascii="Tahoma" w:hAnsi="Tahoma" w:cs="Tahoma"/>
          <w:b/>
          <w:shadow/>
          <w:sz w:val="20"/>
          <w:szCs w:val="20"/>
        </w:rPr>
        <w:t xml:space="preserve">                  VOCAL</w:t>
      </w:r>
      <w:r w:rsidRPr="00D25907">
        <w:rPr>
          <w:rFonts w:ascii="Tahoma" w:hAnsi="Tahoma" w:cs="Tahoma"/>
          <w:b/>
          <w:shadow/>
          <w:sz w:val="20"/>
          <w:szCs w:val="20"/>
        </w:rPr>
        <w:tab/>
      </w:r>
      <w:r w:rsidRPr="00D25907">
        <w:rPr>
          <w:rFonts w:ascii="Tahoma" w:hAnsi="Tahoma" w:cs="Tahoma"/>
          <w:b/>
          <w:shadow/>
          <w:sz w:val="20"/>
          <w:szCs w:val="20"/>
        </w:rPr>
        <w:tab/>
      </w:r>
      <w:r w:rsidRPr="00D25907">
        <w:rPr>
          <w:rFonts w:ascii="Tahoma" w:hAnsi="Tahoma" w:cs="Tahoma"/>
          <w:b/>
          <w:shadow/>
          <w:sz w:val="20"/>
          <w:szCs w:val="20"/>
        </w:rPr>
        <w:tab/>
      </w:r>
      <w:r w:rsidRPr="00D25907">
        <w:rPr>
          <w:rFonts w:ascii="Tahoma" w:hAnsi="Tahoma" w:cs="Tahoma"/>
          <w:b/>
          <w:shadow/>
          <w:sz w:val="20"/>
          <w:szCs w:val="20"/>
        </w:rPr>
        <w:tab/>
      </w:r>
      <w:r w:rsidRPr="00D25907">
        <w:rPr>
          <w:rFonts w:ascii="Tahoma" w:hAnsi="Tahoma" w:cs="Tahoma"/>
          <w:b/>
          <w:shadow/>
          <w:sz w:val="20"/>
          <w:szCs w:val="20"/>
        </w:rPr>
        <w:tab/>
      </w:r>
      <w:r w:rsidRPr="00D25907">
        <w:rPr>
          <w:rFonts w:ascii="Tahoma" w:hAnsi="Tahoma" w:cs="Tahoma"/>
          <w:b/>
          <w:shadow/>
          <w:sz w:val="20"/>
          <w:szCs w:val="20"/>
        </w:rPr>
        <w:tab/>
      </w:r>
      <w:r w:rsidRPr="00D25907">
        <w:rPr>
          <w:rFonts w:ascii="Tahoma" w:hAnsi="Tahoma" w:cs="Tahoma"/>
          <w:b/>
          <w:shadow/>
          <w:sz w:val="20"/>
          <w:szCs w:val="20"/>
        </w:rPr>
        <w:tab/>
      </w:r>
      <w:r w:rsidRPr="00D25907">
        <w:rPr>
          <w:rFonts w:ascii="Tahoma" w:hAnsi="Tahoma" w:cs="Tahoma"/>
          <w:b/>
          <w:shadow/>
          <w:sz w:val="20"/>
          <w:szCs w:val="20"/>
        </w:rPr>
        <w:tab/>
        <w:t xml:space="preserve">VOCAL                                                                 </w:t>
      </w:r>
    </w:p>
    <w:p w:rsidR="002A5E04" w:rsidRPr="00D25907" w:rsidRDefault="002A5E04" w:rsidP="002A5E04">
      <w:pPr>
        <w:spacing w:after="0" w:line="240" w:lineRule="auto"/>
        <w:jc w:val="both"/>
        <w:rPr>
          <w:rFonts w:ascii="Tahoma" w:hAnsi="Tahoma" w:cs="Tahoma"/>
          <w:sz w:val="20"/>
          <w:szCs w:val="20"/>
        </w:rPr>
      </w:pPr>
    </w:p>
    <w:p w:rsidR="002A5E04" w:rsidRPr="00D25907" w:rsidRDefault="002A5E04" w:rsidP="002A5E04">
      <w:pPr>
        <w:spacing w:after="0" w:line="240" w:lineRule="auto"/>
        <w:jc w:val="both"/>
        <w:rPr>
          <w:rFonts w:ascii="Tahoma" w:hAnsi="Tahoma" w:cs="Tahoma"/>
          <w:sz w:val="20"/>
          <w:szCs w:val="20"/>
        </w:rPr>
      </w:pPr>
    </w:p>
    <w:p w:rsidR="002A5E04" w:rsidRPr="00D25907" w:rsidRDefault="002A5E04" w:rsidP="002A5E04">
      <w:pPr>
        <w:spacing w:after="0" w:line="240" w:lineRule="auto"/>
        <w:jc w:val="both"/>
        <w:rPr>
          <w:rFonts w:ascii="Tahoma" w:hAnsi="Tahoma" w:cs="Tahoma"/>
          <w:sz w:val="20"/>
          <w:szCs w:val="20"/>
        </w:rPr>
      </w:pPr>
      <w:r w:rsidRPr="00D25907">
        <w:rPr>
          <w:rFonts w:ascii="Tahoma" w:hAnsi="Tahoma" w:cs="Tahoma"/>
          <w:sz w:val="20"/>
          <w:szCs w:val="20"/>
        </w:rPr>
        <w:t>ss.</w:t>
      </w:r>
    </w:p>
    <w:p w:rsidR="002A5E04" w:rsidRPr="00D25907" w:rsidRDefault="002A5E04" w:rsidP="002A5E04">
      <w:pPr>
        <w:spacing w:after="0" w:line="240" w:lineRule="auto"/>
        <w:jc w:val="both"/>
        <w:rPr>
          <w:rFonts w:ascii="Tahoma" w:hAnsi="Tahoma" w:cs="Tahoma"/>
          <w:sz w:val="20"/>
          <w:szCs w:val="20"/>
        </w:rPr>
      </w:pPr>
      <w:r w:rsidRPr="00D25907">
        <w:rPr>
          <w:rFonts w:ascii="Tahoma" w:hAnsi="Tahoma" w:cs="Tahoma"/>
          <w:sz w:val="20"/>
          <w:szCs w:val="20"/>
        </w:rPr>
        <w:t>Navas Rondón,</w:t>
      </w:r>
    </w:p>
    <w:p w:rsidR="002A5E04" w:rsidRPr="00D25907" w:rsidRDefault="002A5E04" w:rsidP="002A5E04">
      <w:pPr>
        <w:spacing w:after="0" w:line="240" w:lineRule="auto"/>
        <w:jc w:val="both"/>
        <w:rPr>
          <w:rFonts w:ascii="Tahoma" w:hAnsi="Tahoma" w:cs="Tahoma"/>
          <w:sz w:val="20"/>
          <w:szCs w:val="20"/>
        </w:rPr>
      </w:pPr>
      <w:r w:rsidRPr="00D25907">
        <w:rPr>
          <w:rFonts w:ascii="Tahoma" w:hAnsi="Tahoma" w:cs="Tahoma"/>
          <w:sz w:val="20"/>
          <w:szCs w:val="20"/>
        </w:rPr>
        <w:t>Ramírez Maynetto,</w:t>
      </w:r>
    </w:p>
    <w:p w:rsidR="002A5E04" w:rsidRPr="00D25907" w:rsidRDefault="002A5E04" w:rsidP="006B3EE7">
      <w:pPr>
        <w:spacing w:after="0" w:line="240" w:lineRule="auto"/>
        <w:jc w:val="both"/>
        <w:rPr>
          <w:rFonts w:ascii="Tahoma" w:hAnsi="Tahoma" w:cs="Tahoma"/>
          <w:sz w:val="20"/>
          <w:szCs w:val="20"/>
        </w:rPr>
      </w:pPr>
      <w:r w:rsidRPr="00D25907">
        <w:rPr>
          <w:rFonts w:ascii="Tahoma" w:hAnsi="Tahoma" w:cs="Tahoma"/>
          <w:sz w:val="20"/>
          <w:szCs w:val="20"/>
        </w:rPr>
        <w:t>Basulto Liewald.</w:t>
      </w:r>
    </w:p>
    <w:sectPr w:rsidR="002A5E04" w:rsidRPr="00D25907" w:rsidSect="006B3EE7">
      <w:headerReference w:type="default" r:id="rId7"/>
      <w:footerReference w:type="default" r:id="rId8"/>
      <w:pgSz w:w="11906" w:h="16838"/>
      <w:pgMar w:top="2836" w:right="1416" w:bottom="1418"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3E9" w:rsidRDefault="005653E9" w:rsidP="002A5E04">
      <w:pPr>
        <w:spacing w:after="0" w:line="240" w:lineRule="auto"/>
      </w:pPr>
      <w:r>
        <w:separator/>
      </w:r>
    </w:p>
  </w:endnote>
  <w:endnote w:type="continuationSeparator" w:id="1">
    <w:p w:rsidR="005653E9" w:rsidRDefault="005653E9" w:rsidP="002A5E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10E" w:rsidRPr="00FD5A0C" w:rsidRDefault="003A110E">
    <w:pPr>
      <w:pStyle w:val="Piedepgina"/>
      <w:jc w:val="center"/>
      <w:rPr>
        <w:rFonts w:ascii="Tahoma" w:hAnsi="Tahoma" w:cs="Tahoma"/>
        <w:i/>
        <w:sz w:val="18"/>
        <w:szCs w:val="18"/>
      </w:rPr>
    </w:pPr>
    <w:r w:rsidRPr="00FD5A0C">
      <w:rPr>
        <w:rFonts w:ascii="Tahoma" w:hAnsi="Tahoma" w:cs="Tahoma"/>
        <w:i/>
        <w:sz w:val="18"/>
        <w:szCs w:val="18"/>
      </w:rPr>
      <w:t xml:space="preserve">Página </w:t>
    </w:r>
    <w:r w:rsidR="00075AD1" w:rsidRPr="00FD5A0C">
      <w:rPr>
        <w:rFonts w:ascii="Tahoma" w:hAnsi="Tahoma" w:cs="Tahoma"/>
        <w:i/>
        <w:sz w:val="18"/>
        <w:szCs w:val="18"/>
      </w:rPr>
      <w:fldChar w:fldCharType="begin"/>
    </w:r>
    <w:r w:rsidRPr="00FD5A0C">
      <w:rPr>
        <w:rFonts w:ascii="Tahoma" w:hAnsi="Tahoma" w:cs="Tahoma"/>
        <w:i/>
        <w:sz w:val="18"/>
        <w:szCs w:val="18"/>
      </w:rPr>
      <w:instrText>PAGE</w:instrText>
    </w:r>
    <w:r w:rsidR="00075AD1" w:rsidRPr="00FD5A0C">
      <w:rPr>
        <w:rFonts w:ascii="Tahoma" w:hAnsi="Tahoma" w:cs="Tahoma"/>
        <w:i/>
        <w:sz w:val="18"/>
        <w:szCs w:val="18"/>
      </w:rPr>
      <w:fldChar w:fldCharType="separate"/>
    </w:r>
    <w:r w:rsidR="001131A4">
      <w:rPr>
        <w:rFonts w:ascii="Tahoma" w:hAnsi="Tahoma" w:cs="Tahoma"/>
        <w:i/>
        <w:noProof/>
        <w:sz w:val="18"/>
        <w:szCs w:val="18"/>
      </w:rPr>
      <w:t>1</w:t>
    </w:r>
    <w:r w:rsidR="00075AD1" w:rsidRPr="00FD5A0C">
      <w:rPr>
        <w:rFonts w:ascii="Tahoma" w:hAnsi="Tahoma" w:cs="Tahoma"/>
        <w:i/>
        <w:sz w:val="18"/>
        <w:szCs w:val="18"/>
      </w:rPr>
      <w:fldChar w:fldCharType="end"/>
    </w:r>
    <w:r w:rsidRPr="00FD5A0C">
      <w:rPr>
        <w:rFonts w:ascii="Tahoma" w:hAnsi="Tahoma" w:cs="Tahoma"/>
        <w:i/>
        <w:sz w:val="18"/>
        <w:szCs w:val="18"/>
      </w:rPr>
      <w:t xml:space="preserve"> de </w:t>
    </w:r>
    <w:r w:rsidR="00075AD1" w:rsidRPr="00FD5A0C">
      <w:rPr>
        <w:rFonts w:ascii="Tahoma" w:hAnsi="Tahoma" w:cs="Tahoma"/>
        <w:i/>
        <w:sz w:val="18"/>
        <w:szCs w:val="18"/>
      </w:rPr>
      <w:fldChar w:fldCharType="begin"/>
    </w:r>
    <w:r w:rsidRPr="00FD5A0C">
      <w:rPr>
        <w:rFonts w:ascii="Tahoma" w:hAnsi="Tahoma" w:cs="Tahoma"/>
        <w:i/>
        <w:sz w:val="18"/>
        <w:szCs w:val="18"/>
      </w:rPr>
      <w:instrText>NUMPAGES</w:instrText>
    </w:r>
    <w:r w:rsidR="00075AD1" w:rsidRPr="00FD5A0C">
      <w:rPr>
        <w:rFonts w:ascii="Tahoma" w:hAnsi="Tahoma" w:cs="Tahoma"/>
        <w:i/>
        <w:sz w:val="18"/>
        <w:szCs w:val="18"/>
      </w:rPr>
      <w:fldChar w:fldCharType="separate"/>
    </w:r>
    <w:r w:rsidR="001131A4">
      <w:rPr>
        <w:rFonts w:ascii="Tahoma" w:hAnsi="Tahoma" w:cs="Tahoma"/>
        <w:i/>
        <w:noProof/>
        <w:sz w:val="18"/>
        <w:szCs w:val="18"/>
      </w:rPr>
      <w:t>9</w:t>
    </w:r>
    <w:r w:rsidR="00075AD1" w:rsidRPr="00FD5A0C">
      <w:rPr>
        <w:rFonts w:ascii="Tahoma" w:hAnsi="Tahoma" w:cs="Tahoma"/>
        <w:i/>
        <w:sz w:val="18"/>
        <w:szCs w:val="18"/>
      </w:rPr>
      <w:fldChar w:fldCharType="end"/>
    </w:r>
  </w:p>
  <w:p w:rsidR="003A110E" w:rsidRDefault="003A110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3E9" w:rsidRDefault="005653E9" w:rsidP="002A5E04">
      <w:pPr>
        <w:spacing w:after="0" w:line="240" w:lineRule="auto"/>
      </w:pPr>
      <w:r>
        <w:separator/>
      </w:r>
    </w:p>
  </w:footnote>
  <w:footnote w:type="continuationSeparator" w:id="1">
    <w:p w:rsidR="005653E9" w:rsidRDefault="005653E9" w:rsidP="002A5E04">
      <w:pPr>
        <w:spacing w:after="0" w:line="240" w:lineRule="auto"/>
      </w:pPr>
      <w:r>
        <w:continuationSeparator/>
      </w:r>
    </w:p>
  </w:footnote>
  <w:footnote w:id="2">
    <w:p w:rsidR="003A110E" w:rsidRPr="00CD5F60" w:rsidRDefault="003A110E" w:rsidP="002A5E04">
      <w:pPr>
        <w:pStyle w:val="Textonotapie"/>
        <w:rPr>
          <w:i/>
          <w:iCs/>
          <w:sz w:val="16"/>
          <w:szCs w:val="16"/>
        </w:rPr>
      </w:pPr>
      <w:r w:rsidRPr="00AF65D5">
        <w:rPr>
          <w:rStyle w:val="Refdenotaalpie"/>
          <w:i/>
          <w:iCs/>
          <w:sz w:val="18"/>
          <w:szCs w:val="18"/>
        </w:rPr>
        <w:footnoteRef/>
      </w:r>
      <w:r w:rsidRPr="00AF65D5">
        <w:rPr>
          <w:i/>
          <w:iCs/>
          <w:sz w:val="18"/>
          <w:szCs w:val="18"/>
        </w:rPr>
        <w:t xml:space="preserve"> </w:t>
      </w:r>
      <w:r w:rsidRPr="00CD5F60">
        <w:rPr>
          <w:i/>
          <w:iCs/>
          <w:sz w:val="16"/>
          <w:szCs w:val="16"/>
        </w:rPr>
        <w:t>Acuerdo dictado en el marco de los entonces vigentes Texto</w:t>
      </w:r>
      <w:r>
        <w:rPr>
          <w:i/>
          <w:iCs/>
          <w:sz w:val="16"/>
          <w:szCs w:val="16"/>
        </w:rPr>
        <w:t xml:space="preserve"> </w:t>
      </w:r>
      <w:r w:rsidRPr="00CD5F60">
        <w:rPr>
          <w:i/>
          <w:iCs/>
          <w:sz w:val="16"/>
          <w:szCs w:val="16"/>
        </w:rPr>
        <w:t>Único Ordenado de la Ley de Contrataciones y Adquisiciones del Estado, aprobado por Decreto Supremo Nº 012-2001-PCM y su Reglamento, aprobado por D.S. Nº 013-2001-PCM, pero que resulta igualmente aplicable en el caso de autos.</w:t>
      </w:r>
    </w:p>
    <w:p w:rsidR="003A110E" w:rsidRDefault="003A110E" w:rsidP="002A5E04">
      <w:pPr>
        <w:pStyle w:val="Textonotapie"/>
      </w:pPr>
    </w:p>
  </w:footnote>
  <w:footnote w:id="3">
    <w:p w:rsidR="003A110E" w:rsidRPr="00C445C3" w:rsidRDefault="003A110E" w:rsidP="002A5E04">
      <w:pPr>
        <w:pStyle w:val="Textoindependiente"/>
        <w:ind w:left="142" w:hanging="142"/>
        <w:rPr>
          <w:b/>
          <w:bCs/>
          <w:i/>
          <w:iCs/>
          <w:sz w:val="18"/>
          <w:szCs w:val="18"/>
          <w:lang w:val="es-ES_tradnl"/>
        </w:rPr>
      </w:pPr>
      <w:r w:rsidRPr="00C445C3">
        <w:rPr>
          <w:rStyle w:val="Refdenotaalpie"/>
          <w:i/>
          <w:iCs/>
          <w:sz w:val="18"/>
          <w:szCs w:val="18"/>
        </w:rPr>
        <w:footnoteRef/>
      </w:r>
      <w:r w:rsidRPr="00C445C3">
        <w:rPr>
          <w:b/>
          <w:bCs/>
          <w:i/>
          <w:iCs/>
          <w:sz w:val="18"/>
          <w:szCs w:val="18"/>
        </w:rPr>
        <w:t xml:space="preserve"> </w:t>
      </w:r>
      <w:r w:rsidRPr="00C445C3">
        <w:rPr>
          <w:b/>
          <w:bCs/>
          <w:i/>
          <w:iCs/>
          <w:sz w:val="18"/>
          <w:szCs w:val="18"/>
          <w:lang w:val="es-ES_tradnl"/>
        </w:rPr>
        <w:t>Artículo 302.- Determinación gradual de la sanción.-</w:t>
      </w:r>
    </w:p>
    <w:p w:rsidR="003A110E" w:rsidRPr="00C445C3" w:rsidRDefault="003A110E" w:rsidP="002A5E04">
      <w:pPr>
        <w:pStyle w:val="Textoindependiente"/>
        <w:ind w:left="142"/>
        <w:rPr>
          <w:i/>
          <w:iCs/>
          <w:sz w:val="18"/>
          <w:szCs w:val="18"/>
          <w:lang w:val="es-ES_tradnl"/>
        </w:rPr>
      </w:pPr>
      <w:r w:rsidRPr="00C445C3">
        <w:rPr>
          <w:i/>
          <w:iCs/>
          <w:sz w:val="18"/>
          <w:szCs w:val="18"/>
          <w:lang w:val="es-ES_tradnl"/>
        </w:rPr>
        <w:t>Para graduar la sanción a imponerse conforme a las disposiciones del presente Título, se considerarán los siguientes criterios:</w:t>
      </w:r>
    </w:p>
    <w:p w:rsidR="003A110E" w:rsidRPr="00D25907" w:rsidRDefault="003A110E" w:rsidP="002A5E04">
      <w:pPr>
        <w:pStyle w:val="Textoindependiente"/>
        <w:numPr>
          <w:ilvl w:val="0"/>
          <w:numId w:val="7"/>
        </w:numPr>
        <w:tabs>
          <w:tab w:val="num" w:pos="284"/>
        </w:tabs>
        <w:spacing w:after="0" w:line="240" w:lineRule="auto"/>
        <w:ind w:left="284" w:firstLine="0"/>
        <w:jc w:val="both"/>
        <w:rPr>
          <w:i/>
          <w:iCs/>
          <w:sz w:val="18"/>
          <w:szCs w:val="18"/>
          <w:lang w:val="es-ES_tradnl"/>
        </w:rPr>
      </w:pPr>
      <w:r w:rsidRPr="00D25907">
        <w:rPr>
          <w:i/>
          <w:iCs/>
          <w:sz w:val="18"/>
          <w:szCs w:val="18"/>
          <w:lang w:val="es-ES_tradnl"/>
        </w:rPr>
        <w:t>Naturaleza de la infracción.</w:t>
      </w:r>
    </w:p>
    <w:p w:rsidR="003A110E" w:rsidRPr="00D25907" w:rsidRDefault="003A110E" w:rsidP="002A5E04">
      <w:pPr>
        <w:pStyle w:val="Textoindependiente"/>
        <w:numPr>
          <w:ilvl w:val="0"/>
          <w:numId w:val="7"/>
        </w:numPr>
        <w:tabs>
          <w:tab w:val="num" w:pos="284"/>
        </w:tabs>
        <w:spacing w:after="0" w:line="240" w:lineRule="auto"/>
        <w:ind w:left="284" w:firstLine="0"/>
        <w:jc w:val="both"/>
        <w:rPr>
          <w:i/>
          <w:iCs/>
          <w:sz w:val="18"/>
          <w:szCs w:val="18"/>
          <w:lang w:val="es-ES_tradnl"/>
        </w:rPr>
      </w:pPr>
      <w:r w:rsidRPr="00D25907">
        <w:rPr>
          <w:i/>
          <w:iCs/>
          <w:sz w:val="18"/>
          <w:szCs w:val="18"/>
          <w:lang w:val="es-ES_tradnl"/>
        </w:rPr>
        <w:t>Intencionalidad del infractor.</w:t>
      </w:r>
    </w:p>
    <w:p w:rsidR="003A110E" w:rsidRPr="00D25907" w:rsidRDefault="003A110E" w:rsidP="002A5E04">
      <w:pPr>
        <w:pStyle w:val="Textoindependiente"/>
        <w:numPr>
          <w:ilvl w:val="0"/>
          <w:numId w:val="7"/>
        </w:numPr>
        <w:tabs>
          <w:tab w:val="num" w:pos="284"/>
        </w:tabs>
        <w:spacing w:after="0" w:line="240" w:lineRule="auto"/>
        <w:ind w:left="284" w:firstLine="0"/>
        <w:jc w:val="both"/>
        <w:rPr>
          <w:i/>
          <w:iCs/>
          <w:sz w:val="18"/>
          <w:szCs w:val="18"/>
          <w:lang w:val="es-ES_tradnl"/>
        </w:rPr>
      </w:pPr>
      <w:r w:rsidRPr="00D25907">
        <w:rPr>
          <w:i/>
          <w:iCs/>
          <w:sz w:val="18"/>
          <w:szCs w:val="18"/>
          <w:lang w:val="es-ES_tradnl"/>
        </w:rPr>
        <w:t>Daño causado.</w:t>
      </w:r>
    </w:p>
    <w:p w:rsidR="003A110E" w:rsidRPr="00D25907" w:rsidRDefault="003A110E" w:rsidP="002A5E04">
      <w:pPr>
        <w:pStyle w:val="Textoindependiente"/>
        <w:numPr>
          <w:ilvl w:val="0"/>
          <w:numId w:val="7"/>
        </w:numPr>
        <w:tabs>
          <w:tab w:val="num" w:pos="284"/>
        </w:tabs>
        <w:spacing w:after="0" w:line="240" w:lineRule="auto"/>
        <w:ind w:left="284" w:firstLine="0"/>
        <w:jc w:val="both"/>
        <w:rPr>
          <w:i/>
          <w:iCs/>
          <w:sz w:val="18"/>
          <w:szCs w:val="18"/>
          <w:lang w:val="es-ES_tradnl"/>
        </w:rPr>
      </w:pPr>
      <w:r w:rsidRPr="00D25907">
        <w:rPr>
          <w:i/>
          <w:iCs/>
          <w:sz w:val="18"/>
          <w:szCs w:val="18"/>
          <w:lang w:val="es-ES_tradnl"/>
        </w:rPr>
        <w:t>Reiterancia.</w:t>
      </w:r>
    </w:p>
    <w:p w:rsidR="003A110E" w:rsidRPr="00D25907" w:rsidRDefault="003A110E" w:rsidP="002A5E04">
      <w:pPr>
        <w:pStyle w:val="Textoindependiente"/>
        <w:numPr>
          <w:ilvl w:val="0"/>
          <w:numId w:val="7"/>
        </w:numPr>
        <w:tabs>
          <w:tab w:val="num" w:pos="284"/>
        </w:tabs>
        <w:spacing w:after="0" w:line="240" w:lineRule="auto"/>
        <w:ind w:left="284" w:firstLine="0"/>
        <w:jc w:val="both"/>
        <w:rPr>
          <w:i/>
          <w:iCs/>
          <w:sz w:val="18"/>
          <w:szCs w:val="18"/>
          <w:lang w:val="es-ES_tradnl"/>
        </w:rPr>
      </w:pPr>
      <w:r w:rsidRPr="00D25907">
        <w:rPr>
          <w:i/>
          <w:iCs/>
          <w:sz w:val="18"/>
          <w:szCs w:val="18"/>
          <w:lang w:val="es-ES_tradnl"/>
        </w:rPr>
        <w:t>El reconocimiento de la infracción cometida antes de que sea detectada.</w:t>
      </w:r>
    </w:p>
    <w:p w:rsidR="003A110E" w:rsidRPr="00D25907" w:rsidRDefault="003A110E" w:rsidP="002A5E04">
      <w:pPr>
        <w:pStyle w:val="Textoindependiente"/>
        <w:numPr>
          <w:ilvl w:val="0"/>
          <w:numId w:val="7"/>
        </w:numPr>
        <w:tabs>
          <w:tab w:val="num" w:pos="284"/>
        </w:tabs>
        <w:spacing w:after="0" w:line="240" w:lineRule="auto"/>
        <w:ind w:left="284" w:firstLine="0"/>
        <w:jc w:val="both"/>
        <w:rPr>
          <w:i/>
          <w:iCs/>
          <w:sz w:val="18"/>
          <w:szCs w:val="18"/>
          <w:lang w:val="es-ES_tradnl"/>
        </w:rPr>
      </w:pPr>
      <w:r w:rsidRPr="00D25907">
        <w:rPr>
          <w:i/>
          <w:iCs/>
          <w:sz w:val="18"/>
          <w:szCs w:val="18"/>
          <w:lang w:val="es-ES_tradnl"/>
        </w:rPr>
        <w:t>Circunstancias de tiempo, lugar y modo.</w:t>
      </w:r>
    </w:p>
    <w:p w:rsidR="003A110E" w:rsidRPr="00D25907" w:rsidRDefault="003A110E" w:rsidP="002A5E04">
      <w:pPr>
        <w:pStyle w:val="Textoindependiente"/>
        <w:numPr>
          <w:ilvl w:val="0"/>
          <w:numId w:val="7"/>
        </w:numPr>
        <w:tabs>
          <w:tab w:val="num" w:pos="284"/>
        </w:tabs>
        <w:spacing w:after="0" w:line="240" w:lineRule="auto"/>
        <w:ind w:left="284" w:firstLine="0"/>
        <w:jc w:val="both"/>
        <w:rPr>
          <w:i/>
          <w:iCs/>
          <w:sz w:val="18"/>
          <w:szCs w:val="18"/>
          <w:lang w:val="es-ES_tradnl"/>
        </w:rPr>
      </w:pPr>
      <w:r w:rsidRPr="00D25907">
        <w:rPr>
          <w:i/>
          <w:iCs/>
          <w:sz w:val="18"/>
          <w:szCs w:val="18"/>
          <w:lang w:val="es-ES_tradnl"/>
        </w:rPr>
        <w:t>Condiciones del infractor.</w:t>
      </w:r>
    </w:p>
    <w:p w:rsidR="003A110E" w:rsidRPr="00D25907" w:rsidRDefault="003A110E" w:rsidP="002A5E04">
      <w:pPr>
        <w:pStyle w:val="Textoindependiente"/>
        <w:numPr>
          <w:ilvl w:val="0"/>
          <w:numId w:val="7"/>
        </w:numPr>
        <w:spacing w:after="0" w:line="240" w:lineRule="auto"/>
        <w:ind w:left="567" w:hanging="283"/>
        <w:jc w:val="both"/>
        <w:rPr>
          <w:i/>
          <w:iCs/>
          <w:sz w:val="18"/>
          <w:szCs w:val="18"/>
          <w:lang w:val="es-ES_tradnl"/>
        </w:rPr>
      </w:pPr>
      <w:r>
        <w:rPr>
          <w:i/>
          <w:iCs/>
          <w:sz w:val="18"/>
          <w:szCs w:val="18"/>
          <w:lang w:val="es-ES_tradnl"/>
        </w:rPr>
        <w:t xml:space="preserve"> </w:t>
      </w:r>
      <w:r w:rsidRPr="00D25907">
        <w:rPr>
          <w:i/>
          <w:iCs/>
          <w:sz w:val="18"/>
          <w:szCs w:val="18"/>
          <w:lang w:val="es-ES_tradnl"/>
        </w:rPr>
        <w:t>Conducta procesal del infractor.</w:t>
      </w:r>
    </w:p>
    <w:p w:rsidR="003A110E" w:rsidRPr="00D25907" w:rsidRDefault="003A110E" w:rsidP="002A5E04">
      <w:pPr>
        <w:pStyle w:val="Textoindependiente"/>
        <w:ind w:left="567"/>
        <w:rPr>
          <w:i/>
        </w:rPr>
      </w:pPr>
      <w:r w:rsidRPr="00D25907">
        <w:rPr>
          <w:bCs/>
          <w:i/>
          <w:iCs/>
          <w:sz w:val="18"/>
          <w:szCs w:val="18"/>
          <w:lang w:val="es-ES_tradnl"/>
        </w:rPr>
        <w:t>El Tribunal podrá disminuir la sanción hasta límites inferiores al mínimo fijado para cada caso, cuando considere que existen circunstancias atenuantes de la responsabilidad del infractor.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1A4" w:rsidRDefault="001131A4" w:rsidP="001131A4">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131A4" w:rsidRDefault="001131A4" w:rsidP="001131A4">
    <w:pPr>
      <w:pStyle w:val="Encabezado"/>
      <w:rPr>
        <w:noProof/>
      </w:rPr>
    </w:pPr>
  </w:p>
  <w:p w:rsidR="001131A4" w:rsidRDefault="001131A4" w:rsidP="001131A4">
    <w:pPr>
      <w:pStyle w:val="Encabezado"/>
      <w:rPr>
        <w:noProof/>
      </w:rPr>
    </w:pPr>
  </w:p>
  <w:p w:rsidR="001131A4" w:rsidRDefault="001131A4" w:rsidP="001131A4">
    <w:pPr>
      <w:pStyle w:val="Encabezado"/>
      <w:rPr>
        <w:noProof/>
      </w:rPr>
    </w:pPr>
  </w:p>
  <w:p w:rsidR="001131A4" w:rsidRDefault="001131A4" w:rsidP="001131A4">
    <w:pPr>
      <w:pStyle w:val="Encabezado"/>
      <w:jc w:val="center"/>
    </w:pPr>
    <w:r>
      <w:rPr>
        <w:rFonts w:ascii="Monotype Corsiva" w:hAnsi="Monotype Corsiva"/>
        <w:b/>
        <w:sz w:val="44"/>
        <w:szCs w:val="44"/>
      </w:rPr>
      <w:t xml:space="preserve">Resolución Nº   </w:t>
    </w:r>
    <w:r>
      <w:rPr>
        <w:rFonts w:ascii="Tahoma" w:hAnsi="Tahoma" w:cs="Tahoma"/>
        <w:b/>
        <w:sz w:val="44"/>
        <w:szCs w:val="44"/>
      </w:rPr>
      <w:t>786-2011-TC-S1</w:t>
    </w:r>
  </w:p>
  <w:p w:rsidR="001131A4" w:rsidRDefault="001131A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2A604CF2"/>
    <w:multiLevelType w:val="hybridMultilevel"/>
    <w:tmpl w:val="505C682E"/>
    <w:lvl w:ilvl="0" w:tplc="36582308">
      <w:start w:val="1"/>
      <w:numFmt w:val="decimal"/>
      <w:lvlText w:val="%1)"/>
      <w:lvlJc w:val="left"/>
      <w:pPr>
        <w:tabs>
          <w:tab w:val="num" w:pos="360"/>
        </w:tabs>
        <w:ind w:left="360" w:hanging="360"/>
      </w:pPr>
      <w:rPr>
        <w:rFonts w:hint="default"/>
      </w:rPr>
    </w:lvl>
    <w:lvl w:ilvl="1" w:tplc="0C0A0019">
      <w:start w:val="1"/>
      <w:numFmt w:val="lowerLetter"/>
      <w:lvlText w:val="%2."/>
      <w:lvlJc w:val="left"/>
      <w:pPr>
        <w:tabs>
          <w:tab w:val="num" w:pos="1080"/>
        </w:tabs>
        <w:ind w:left="1080" w:hanging="360"/>
      </w:pPr>
    </w:lvl>
    <w:lvl w:ilvl="2" w:tplc="0C0A001B">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start w:val="1"/>
      <w:numFmt w:val="lowerLetter"/>
      <w:lvlText w:val="%5."/>
      <w:lvlJc w:val="left"/>
      <w:pPr>
        <w:tabs>
          <w:tab w:val="num" w:pos="3240"/>
        </w:tabs>
        <w:ind w:left="3240" w:hanging="360"/>
      </w:pPr>
    </w:lvl>
    <w:lvl w:ilvl="5" w:tplc="0C0A001B">
      <w:start w:val="1"/>
      <w:numFmt w:val="lowerRoman"/>
      <w:lvlText w:val="%6."/>
      <w:lvlJc w:val="right"/>
      <w:pPr>
        <w:tabs>
          <w:tab w:val="num" w:pos="3960"/>
        </w:tabs>
        <w:ind w:left="3960" w:hanging="180"/>
      </w:pPr>
    </w:lvl>
    <w:lvl w:ilvl="6" w:tplc="0C0A000F">
      <w:start w:val="1"/>
      <w:numFmt w:val="decimal"/>
      <w:lvlText w:val="%7."/>
      <w:lvlJc w:val="left"/>
      <w:pPr>
        <w:tabs>
          <w:tab w:val="num" w:pos="4680"/>
        </w:tabs>
        <w:ind w:left="4680" w:hanging="360"/>
      </w:pPr>
    </w:lvl>
    <w:lvl w:ilvl="7" w:tplc="0C0A0019">
      <w:start w:val="1"/>
      <w:numFmt w:val="lowerLetter"/>
      <w:lvlText w:val="%8."/>
      <w:lvlJc w:val="left"/>
      <w:pPr>
        <w:tabs>
          <w:tab w:val="num" w:pos="5400"/>
        </w:tabs>
        <w:ind w:left="5400" w:hanging="360"/>
      </w:pPr>
    </w:lvl>
    <w:lvl w:ilvl="8" w:tplc="0C0A001B">
      <w:start w:val="1"/>
      <w:numFmt w:val="lowerRoman"/>
      <w:lvlText w:val="%9."/>
      <w:lvlJc w:val="right"/>
      <w:pPr>
        <w:tabs>
          <w:tab w:val="num" w:pos="6120"/>
        </w:tabs>
        <w:ind w:left="6120" w:hanging="180"/>
      </w:pPr>
    </w:lvl>
  </w:abstractNum>
  <w:abstractNum w:abstractNumId="2">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76B5313"/>
    <w:multiLevelType w:val="hybridMultilevel"/>
    <w:tmpl w:val="7B0281FC"/>
    <w:lvl w:ilvl="0" w:tplc="0C0A001B">
      <w:start w:val="1"/>
      <w:numFmt w:val="lowerRoman"/>
      <w:lvlText w:val="%1."/>
      <w:lvlJc w:val="righ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40B06780"/>
    <w:multiLevelType w:val="hybridMultilevel"/>
    <w:tmpl w:val="B9045CF6"/>
    <w:lvl w:ilvl="0" w:tplc="A720E4EE">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6">
    <w:nsid w:val="482A3B48"/>
    <w:multiLevelType w:val="hybridMultilevel"/>
    <w:tmpl w:val="D4C66138"/>
    <w:lvl w:ilvl="0" w:tplc="0C0A0001">
      <w:start w:val="1"/>
      <w:numFmt w:val="bullet"/>
      <w:lvlText w:val=""/>
      <w:lvlJc w:val="left"/>
      <w:pPr>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7">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9">
    <w:nsid w:val="60AB42CA"/>
    <w:multiLevelType w:val="hybridMultilevel"/>
    <w:tmpl w:val="EAFC767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2A5E04"/>
    <w:rsid w:val="00075AD1"/>
    <w:rsid w:val="001131A4"/>
    <w:rsid w:val="001A7C03"/>
    <w:rsid w:val="002A5E04"/>
    <w:rsid w:val="003A110E"/>
    <w:rsid w:val="004E3F95"/>
    <w:rsid w:val="00542FA2"/>
    <w:rsid w:val="005653E9"/>
    <w:rsid w:val="0066645E"/>
    <w:rsid w:val="006B3EE7"/>
    <w:rsid w:val="0078636C"/>
    <w:rsid w:val="007B0631"/>
    <w:rsid w:val="009205CE"/>
    <w:rsid w:val="0096071E"/>
    <w:rsid w:val="00D2590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E04"/>
    <w:rPr>
      <w:rFonts w:ascii="Calibri" w:eastAsia="Calibri" w:hAnsi="Calibri" w:cs="Times New Roman"/>
    </w:rPr>
  </w:style>
  <w:style w:type="paragraph" w:styleId="Ttulo2">
    <w:name w:val="heading 2"/>
    <w:basedOn w:val="Normal"/>
    <w:next w:val="Normal"/>
    <w:link w:val="Ttulo2Car"/>
    <w:qFormat/>
    <w:rsid w:val="002A5E04"/>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2A5E04"/>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5E04"/>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2A5E04"/>
    <w:rPr>
      <w:rFonts w:ascii="Arial" w:eastAsia="Calibri" w:hAnsi="Arial" w:cs="Arial"/>
      <w:b/>
      <w:bCs/>
      <w:sz w:val="26"/>
      <w:szCs w:val="26"/>
    </w:rPr>
  </w:style>
  <w:style w:type="paragraph" w:styleId="Textoindependiente3">
    <w:name w:val="Body Text 3"/>
    <w:basedOn w:val="Normal"/>
    <w:link w:val="Textoindependiente3Car"/>
    <w:semiHidden/>
    <w:unhideWhenUsed/>
    <w:rsid w:val="002A5E04"/>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2A5E04"/>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2A5E04"/>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2A5E04"/>
    <w:pPr>
      <w:tabs>
        <w:tab w:val="center" w:pos="4252"/>
        <w:tab w:val="right" w:pos="8504"/>
      </w:tabs>
    </w:pPr>
  </w:style>
  <w:style w:type="character" w:customStyle="1" w:styleId="PiedepginaCar">
    <w:name w:val="Pie de página Car"/>
    <w:basedOn w:val="Fuentedeprrafopredeter"/>
    <w:link w:val="Piedepgina"/>
    <w:uiPriority w:val="99"/>
    <w:rsid w:val="002A5E04"/>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w:basedOn w:val="Normal"/>
    <w:link w:val="TextonotapieCar"/>
    <w:uiPriority w:val="99"/>
    <w:rsid w:val="002A5E04"/>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2A5E04"/>
    <w:rPr>
      <w:rFonts w:ascii="Tahoma" w:eastAsia="Calibri" w:hAnsi="Tahoma" w:cs="Tahoma"/>
      <w:sz w:val="20"/>
      <w:szCs w:val="20"/>
    </w:rPr>
  </w:style>
  <w:style w:type="character" w:styleId="Refdenotaalpie">
    <w:name w:val="footnote reference"/>
    <w:basedOn w:val="Fuentedeprrafopredeter"/>
    <w:uiPriority w:val="99"/>
    <w:semiHidden/>
    <w:rsid w:val="002A5E04"/>
    <w:rPr>
      <w:vertAlign w:val="superscript"/>
    </w:rPr>
  </w:style>
  <w:style w:type="paragraph" w:styleId="Textoindependiente">
    <w:name w:val="Body Text"/>
    <w:basedOn w:val="Normal"/>
    <w:link w:val="TextoindependienteCar"/>
    <w:uiPriority w:val="99"/>
    <w:semiHidden/>
    <w:unhideWhenUsed/>
    <w:rsid w:val="002A5E04"/>
    <w:pPr>
      <w:spacing w:after="120"/>
    </w:pPr>
  </w:style>
  <w:style w:type="character" w:customStyle="1" w:styleId="TextoindependienteCar">
    <w:name w:val="Texto independiente Car"/>
    <w:basedOn w:val="Fuentedeprrafopredeter"/>
    <w:link w:val="Textoindependiente"/>
    <w:uiPriority w:val="99"/>
    <w:semiHidden/>
    <w:rsid w:val="002A5E04"/>
    <w:rPr>
      <w:rFonts w:ascii="Calibri" w:eastAsia="Calibri" w:hAnsi="Calibri" w:cs="Times New Roman"/>
    </w:rPr>
  </w:style>
  <w:style w:type="paragraph" w:styleId="NormalWeb">
    <w:name w:val="Normal (Web)"/>
    <w:basedOn w:val="Normal"/>
    <w:uiPriority w:val="99"/>
    <w:rsid w:val="002A5E04"/>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2A5E04"/>
    <w:pPr>
      <w:spacing w:after="0" w:line="240" w:lineRule="auto"/>
      <w:ind w:left="720"/>
    </w:pPr>
    <w:rPr>
      <w:rFonts w:ascii="Times New Roman" w:hAnsi="Times New Roman"/>
      <w:sz w:val="24"/>
      <w:szCs w:val="24"/>
      <w:lang w:eastAsia="es-ES"/>
    </w:rPr>
  </w:style>
  <w:style w:type="character" w:styleId="Textoennegrita">
    <w:name w:val="Strong"/>
    <w:basedOn w:val="Fuentedeprrafopredeter"/>
    <w:uiPriority w:val="99"/>
    <w:qFormat/>
    <w:rsid w:val="002A5E04"/>
    <w:rPr>
      <w:b/>
      <w:bCs/>
    </w:rPr>
  </w:style>
  <w:style w:type="paragraph" w:styleId="Encabezado">
    <w:name w:val="header"/>
    <w:aliases w:val="maria,h"/>
    <w:basedOn w:val="Normal"/>
    <w:link w:val="EncabezadoCar"/>
    <w:uiPriority w:val="99"/>
    <w:semiHidden/>
    <w:unhideWhenUsed/>
    <w:rsid w:val="001131A4"/>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1131A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82582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3930</Words>
  <Characters>21621</Characters>
  <Application>Microsoft Office Word</Application>
  <DocSecurity>0</DocSecurity>
  <Lines>180</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10</cp:revision>
  <cp:lastPrinted>2011-05-10T22:35:00Z</cp:lastPrinted>
  <dcterms:created xsi:type="dcterms:W3CDTF">2011-05-10T22:19:00Z</dcterms:created>
  <dcterms:modified xsi:type="dcterms:W3CDTF">2011-06-22T14:36:00Z</dcterms:modified>
</cp:coreProperties>
</file>